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2" w:rsidRPr="00D83097" w:rsidRDefault="00086522" w:rsidP="00086522">
      <w:pPr>
        <w:jc w:val="center"/>
        <w:rPr>
          <w:rFonts w:ascii="Calibri" w:hAnsi="Calibr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2711450</wp:posOffset>
            </wp:positionH>
            <wp:positionV relativeFrom="paragraph">
              <wp:posOffset>745490</wp:posOffset>
            </wp:positionV>
            <wp:extent cx="4260850" cy="4304030"/>
            <wp:effectExtent l="2540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430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3097">
        <w:rPr>
          <w:rFonts w:ascii="Calibri" w:hAnsi="Calibri"/>
          <w:sz w:val="96"/>
          <w:szCs w:val="96"/>
        </w:rPr>
        <w:t>Fowey Primary School</w:t>
      </w:r>
    </w:p>
    <w:p w:rsidR="00086522" w:rsidRPr="00D83097" w:rsidRDefault="00086522" w:rsidP="00086522">
      <w:pPr>
        <w:jc w:val="center"/>
        <w:rPr>
          <w:rFonts w:ascii="Calibri" w:hAnsi="Calibri"/>
          <w:sz w:val="96"/>
          <w:szCs w:val="96"/>
        </w:rPr>
      </w:pPr>
    </w:p>
    <w:p w:rsidR="00086522" w:rsidRPr="00D83097" w:rsidRDefault="00086522" w:rsidP="00086522">
      <w:pPr>
        <w:jc w:val="center"/>
        <w:rPr>
          <w:rFonts w:ascii="Calibri" w:hAnsi="Calibri"/>
          <w:sz w:val="96"/>
          <w:szCs w:val="96"/>
        </w:rPr>
      </w:pPr>
    </w:p>
    <w:p w:rsidR="00086522" w:rsidRPr="00D83097" w:rsidRDefault="00086522" w:rsidP="00086522">
      <w:pPr>
        <w:jc w:val="center"/>
        <w:rPr>
          <w:rFonts w:ascii="Calibri" w:hAnsi="Calibri"/>
          <w:sz w:val="72"/>
          <w:szCs w:val="72"/>
        </w:rPr>
      </w:pPr>
    </w:p>
    <w:p w:rsidR="00086522" w:rsidRPr="00D83097" w:rsidRDefault="00086522" w:rsidP="00086522">
      <w:pPr>
        <w:jc w:val="center"/>
        <w:rPr>
          <w:rFonts w:ascii="Calibri" w:hAnsi="Calibri"/>
          <w:sz w:val="72"/>
          <w:szCs w:val="72"/>
        </w:rPr>
      </w:pPr>
    </w:p>
    <w:p w:rsidR="00086522" w:rsidRPr="00D83097" w:rsidRDefault="00086522" w:rsidP="00086522">
      <w:pPr>
        <w:rPr>
          <w:rFonts w:ascii="Calibri" w:hAnsi="Calibri"/>
          <w:sz w:val="72"/>
          <w:szCs w:val="72"/>
        </w:rPr>
      </w:pPr>
    </w:p>
    <w:p w:rsidR="00086522" w:rsidRPr="00D83097" w:rsidRDefault="000E3DF3" w:rsidP="00086522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Academy Development Plan</w:t>
      </w:r>
    </w:p>
    <w:p w:rsidR="007F312B" w:rsidRDefault="000E3DF3" w:rsidP="00086522">
      <w:pPr>
        <w:jc w:val="center"/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2017</w:t>
      </w:r>
      <w:r w:rsidR="00086522">
        <w:rPr>
          <w:rFonts w:ascii="Calibri" w:hAnsi="Calibri"/>
          <w:sz w:val="72"/>
          <w:szCs w:val="72"/>
        </w:rPr>
        <w:t>-201</w:t>
      </w:r>
      <w:r>
        <w:rPr>
          <w:rFonts w:ascii="Calibri" w:hAnsi="Calibri"/>
          <w:sz w:val="72"/>
          <w:szCs w:val="72"/>
        </w:rPr>
        <w:t>8</w:t>
      </w:r>
    </w:p>
    <w:p w:rsidR="00AF5837" w:rsidRPr="007F312B" w:rsidRDefault="00AF5837" w:rsidP="00086522">
      <w:pPr>
        <w:jc w:val="center"/>
        <w:rPr>
          <w:rFonts w:ascii="Calibri" w:hAnsi="Calibri"/>
          <w:sz w:val="2"/>
          <w:szCs w:val="72"/>
        </w:rPr>
      </w:pPr>
    </w:p>
    <w:p w:rsidR="00777BD7" w:rsidRDefault="00777BD7" w:rsidP="00086522">
      <w:pPr>
        <w:jc w:val="center"/>
        <w:rPr>
          <w:rFonts w:ascii="Calibri" w:hAnsi="Calibri"/>
          <w:sz w:val="20"/>
          <w:szCs w:val="72"/>
        </w:rPr>
      </w:pPr>
    </w:p>
    <w:tbl>
      <w:tblPr>
        <w:tblStyle w:val="TableGrid"/>
        <w:tblW w:w="15629" w:type="dxa"/>
        <w:tblLook w:val="00BF"/>
      </w:tblPr>
      <w:tblGrid>
        <w:gridCol w:w="1951"/>
        <w:gridCol w:w="4536"/>
        <w:gridCol w:w="1440"/>
        <w:gridCol w:w="1537"/>
        <w:gridCol w:w="1134"/>
        <w:gridCol w:w="3544"/>
        <w:gridCol w:w="1487"/>
      </w:tblGrid>
      <w:tr w:rsidR="00777BD7" w:rsidRPr="00421F3A">
        <w:tc>
          <w:tcPr>
            <w:tcW w:w="1951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Focus/Target</w:t>
            </w:r>
          </w:p>
        </w:tc>
        <w:tc>
          <w:tcPr>
            <w:tcW w:w="4536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Action to be taken</w:t>
            </w:r>
          </w:p>
        </w:tc>
        <w:tc>
          <w:tcPr>
            <w:tcW w:w="1440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1537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When/By?</w:t>
            </w:r>
          </w:p>
        </w:tc>
        <w:tc>
          <w:tcPr>
            <w:tcW w:w="1134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Costs </w:t>
            </w:r>
          </w:p>
        </w:tc>
        <w:tc>
          <w:tcPr>
            <w:tcW w:w="3544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Success criteria</w:t>
            </w:r>
            <w:r w:rsidR="00E6329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and </w:t>
            </w:r>
            <w:proofErr w:type="spellStart"/>
            <w:r w:rsidR="00E6329F">
              <w:rPr>
                <w:rFonts w:asciiTheme="majorHAnsi" w:hAnsiTheme="majorHAnsi"/>
                <w:b/>
                <w:bCs/>
                <w:sz w:val="20"/>
                <w:szCs w:val="20"/>
              </w:rPr>
              <w:t>termly</w:t>
            </w:r>
            <w:proofErr w:type="spellEnd"/>
            <w:r w:rsidR="00E6329F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 evaluation</w:t>
            </w:r>
          </w:p>
        </w:tc>
        <w:tc>
          <w:tcPr>
            <w:tcW w:w="1487" w:type="dxa"/>
          </w:tcPr>
          <w:p w:rsidR="00777BD7" w:rsidRPr="005153DD" w:rsidRDefault="00777BD7" w:rsidP="00777BD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SC Monitored by?</w:t>
            </w:r>
          </w:p>
        </w:tc>
      </w:tr>
      <w:tr w:rsidR="00777BD7" w:rsidRPr="00421F3A">
        <w:tc>
          <w:tcPr>
            <w:tcW w:w="15629" w:type="dxa"/>
            <w:gridSpan w:val="7"/>
          </w:tcPr>
          <w:p w:rsidR="00475F59" w:rsidRDefault="00475F59" w:rsidP="00475F59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SAFEGUARDING- Personal Development, </w:t>
            </w:r>
            <w:proofErr w:type="spellStart"/>
            <w:r>
              <w:rPr>
                <w:rFonts w:ascii="Calibri" w:hAnsi="Calibri"/>
                <w:b/>
                <w:iCs/>
                <w:sz w:val="18"/>
                <w:szCs w:val="18"/>
              </w:rPr>
              <w:t>Behaviour</w:t>
            </w:r>
            <w:proofErr w:type="spellEnd"/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 and Welfare</w:t>
            </w:r>
          </w:p>
          <w:p w:rsidR="00777BD7" w:rsidRPr="007F312B" w:rsidRDefault="00777BD7" w:rsidP="00FE2285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615"/>
        </w:trPr>
        <w:tc>
          <w:tcPr>
            <w:tcW w:w="1951" w:type="dxa"/>
            <w:vMerge w:val="restart"/>
          </w:tcPr>
          <w:p w:rsidR="00E6329F" w:rsidRPr="00777BD7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  <w:r>
              <w:rPr>
                <w:rFonts w:asciiTheme="majorHAnsi" w:hAnsiTheme="majorHAnsi"/>
                <w:sz w:val="18"/>
                <w:szCs w:val="28"/>
              </w:rPr>
              <w:t>Development points/actions arising from S175/157 return 2016/17 and other Safeguarding Actions</w:t>
            </w:r>
          </w:p>
        </w:tc>
        <w:tc>
          <w:tcPr>
            <w:tcW w:w="4536" w:type="dxa"/>
          </w:tcPr>
          <w:p w:rsidR="00E6329F" w:rsidRDefault="00E6329F" w:rsidP="007A0770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  <w:r w:rsidRPr="00996077">
              <w:rPr>
                <w:rFonts w:asciiTheme="majorHAnsi" w:hAnsiTheme="majorHAnsi"/>
                <w:sz w:val="18"/>
                <w:szCs w:val="20"/>
              </w:rPr>
              <w:t xml:space="preserve">1. </w:t>
            </w:r>
            <w:r w:rsidRPr="00996077">
              <w:rPr>
                <w:rFonts w:asciiTheme="majorHAnsi" w:hAnsiTheme="majorHAnsi"/>
                <w:sz w:val="18"/>
              </w:rPr>
              <w:t xml:space="preserve">Public Sector Equality Duty </w:t>
            </w:r>
            <w:r>
              <w:rPr>
                <w:rFonts w:asciiTheme="majorHAnsi" w:hAnsiTheme="majorHAnsi"/>
                <w:sz w:val="18"/>
              </w:rPr>
              <w:t>information to be updated on website.</w:t>
            </w:r>
          </w:p>
          <w:p w:rsidR="00E6329F" w:rsidRPr="006A7A4A" w:rsidRDefault="00E6329F" w:rsidP="006A7A4A">
            <w:pPr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</w:t>
            </w:r>
          </w:p>
          <w:p w:rsidR="00E6329F" w:rsidRPr="004F4030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1. Dec 2017</w:t>
            </w:r>
          </w:p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</w:p>
          <w:p w:rsidR="00E6329F" w:rsidRPr="004F4030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  <w:p w:rsidR="00E6329F" w:rsidRPr="002E17F3" w:rsidRDefault="00E6329F" w:rsidP="00A43DA3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  <w:tc>
          <w:tcPr>
            <w:tcW w:w="3544" w:type="dxa"/>
            <w:vMerge w:val="restart"/>
          </w:tcPr>
          <w:p w:rsidR="00E6329F" w:rsidRPr="002E17F3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Safeguarding systems are robust and S175/157 review/audit shows all actions have been followed up.</w:t>
            </w:r>
          </w:p>
        </w:tc>
        <w:tc>
          <w:tcPr>
            <w:tcW w:w="1487" w:type="dxa"/>
            <w:vMerge w:val="restart"/>
          </w:tcPr>
          <w:p w:rsidR="00E6329F" w:rsidRPr="00996077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Gov: </w:t>
            </w:r>
            <w:proofErr w:type="spellStart"/>
            <w:r>
              <w:rPr>
                <w:rFonts w:ascii="Calibri" w:hAnsi="Calibri"/>
                <w:b/>
                <w:iCs/>
                <w:sz w:val="18"/>
                <w:szCs w:val="18"/>
              </w:rPr>
              <w:t>Jaine</w:t>
            </w:r>
            <w:proofErr w:type="spellEnd"/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iCs/>
                <w:sz w:val="18"/>
                <w:szCs w:val="18"/>
              </w:rPr>
              <w:t>Colwill</w:t>
            </w:r>
            <w:proofErr w:type="spellEnd"/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 </w:t>
            </w: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Pr="00CF1B34" w:rsidRDefault="00E6329F" w:rsidP="00471793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2. Audit </w:t>
            </w:r>
            <w:r w:rsidR="00471793">
              <w:rPr>
                <w:rFonts w:asciiTheme="majorHAnsi" w:hAnsiTheme="majorHAnsi"/>
                <w:sz w:val="18"/>
              </w:rPr>
              <w:t xml:space="preserve">all </w:t>
            </w:r>
            <w:r>
              <w:rPr>
                <w:rFonts w:asciiTheme="majorHAnsi" w:hAnsiTheme="majorHAnsi"/>
                <w:sz w:val="18"/>
              </w:rPr>
              <w:t xml:space="preserve">policies to ensure </w:t>
            </w:r>
            <w:r w:rsidR="00471793">
              <w:rPr>
                <w:rFonts w:asciiTheme="majorHAnsi" w:hAnsiTheme="majorHAnsi"/>
                <w:sz w:val="18"/>
              </w:rPr>
              <w:t xml:space="preserve">that all statutory policies are in place, are regularly updated or scheduled for review and that </w:t>
            </w:r>
            <w:r>
              <w:rPr>
                <w:rFonts w:asciiTheme="majorHAnsi" w:hAnsiTheme="majorHAnsi"/>
                <w:sz w:val="18"/>
              </w:rPr>
              <w:t>they are being implemented effectively and consistently.</w:t>
            </w: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Dec 2017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  <w:vMerge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Pr="00996077" w:rsidRDefault="00E6329F" w:rsidP="00CF1B34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  <w:r w:rsidRPr="00996077">
              <w:rPr>
                <w:rFonts w:asciiTheme="majorHAnsi" w:hAnsiTheme="majorHAnsi"/>
                <w:sz w:val="18"/>
              </w:rPr>
              <w:t xml:space="preserve">3.Whole school display to overtly demonstrate how we </w:t>
            </w:r>
            <w:r>
              <w:rPr>
                <w:rFonts w:asciiTheme="majorHAnsi" w:hAnsiTheme="majorHAnsi"/>
                <w:sz w:val="18"/>
              </w:rPr>
              <w:t>keep everyone safe</w:t>
            </w:r>
            <w:proofErr w:type="gramStart"/>
            <w:r>
              <w:rPr>
                <w:rFonts w:asciiTheme="majorHAnsi" w:hAnsiTheme="majorHAnsi"/>
                <w:sz w:val="18"/>
              </w:rPr>
              <w:t xml:space="preserve">, </w:t>
            </w:r>
            <w:r w:rsidRPr="00996077">
              <w:rPr>
                <w:rFonts w:asciiTheme="majorHAnsi" w:hAnsiTheme="majorHAnsi"/>
                <w:sz w:val="18"/>
              </w:rPr>
              <w:t xml:space="preserve"> as</w:t>
            </w:r>
            <w:proofErr w:type="gramEnd"/>
            <w:r w:rsidRPr="00996077">
              <w:rPr>
                <w:rFonts w:asciiTheme="majorHAnsi" w:hAnsiTheme="majorHAnsi"/>
                <w:sz w:val="18"/>
              </w:rPr>
              <w:t xml:space="preserve"> well as web page</w:t>
            </w:r>
            <w:r>
              <w:rPr>
                <w:rFonts w:asciiTheme="majorHAnsi" w:hAnsiTheme="majorHAnsi"/>
                <w:sz w:val="18"/>
              </w:rPr>
              <w:t>s with specific safeguarding information</w:t>
            </w:r>
            <w:r w:rsidRPr="00996077">
              <w:rPr>
                <w:rFonts w:asciiTheme="majorHAnsi" w:hAnsiTheme="majorHAnsi"/>
                <w:sz w:val="18"/>
              </w:rPr>
              <w:t>.</w:t>
            </w:r>
          </w:p>
          <w:p w:rsidR="00E6329F" w:rsidRDefault="00E6329F" w:rsidP="007A0770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KS, JJ and MB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Dec 2017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  <w:vMerge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Pr="00996077" w:rsidRDefault="00E6329F" w:rsidP="006A7A4A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>4</w:t>
            </w:r>
            <w:r w:rsidRPr="00996077">
              <w:rPr>
                <w:rFonts w:asciiTheme="majorHAnsi" w:hAnsiTheme="majorHAnsi"/>
                <w:sz w:val="18"/>
              </w:rPr>
              <w:t xml:space="preserve">. </w:t>
            </w:r>
            <w:r>
              <w:rPr>
                <w:rFonts w:asciiTheme="majorHAnsi" w:hAnsiTheme="majorHAnsi"/>
                <w:sz w:val="18"/>
              </w:rPr>
              <w:t xml:space="preserve">DSL and Cover DSL Multi-agency Level </w:t>
            </w:r>
            <w:proofErr w:type="gramStart"/>
            <w:r>
              <w:rPr>
                <w:rFonts w:asciiTheme="majorHAnsi" w:hAnsiTheme="majorHAnsi"/>
                <w:sz w:val="18"/>
              </w:rPr>
              <w:t>3 refresher</w:t>
            </w:r>
            <w:proofErr w:type="gramEnd"/>
            <w:r>
              <w:rPr>
                <w:rFonts w:asciiTheme="majorHAnsi" w:hAnsiTheme="majorHAnsi"/>
                <w:sz w:val="18"/>
              </w:rPr>
              <w:t xml:space="preserve"> training (Mental Health).</w:t>
            </w:r>
          </w:p>
          <w:p w:rsidR="00E6329F" w:rsidRPr="00996077" w:rsidRDefault="00E6329F" w:rsidP="00CF1B34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 and MB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Dec 2017 (all staff have up-to-date training until 2018)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£45 pp</w:t>
            </w:r>
          </w:p>
        </w:tc>
        <w:tc>
          <w:tcPr>
            <w:tcW w:w="3544" w:type="dxa"/>
            <w:vMerge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5. </w:t>
            </w:r>
            <w:proofErr w:type="spellStart"/>
            <w:r>
              <w:rPr>
                <w:rFonts w:asciiTheme="majorHAnsi" w:hAnsiTheme="majorHAnsi"/>
                <w:sz w:val="18"/>
              </w:rPr>
              <w:t>Termly</w:t>
            </w:r>
            <w:proofErr w:type="spellEnd"/>
            <w:r>
              <w:rPr>
                <w:rFonts w:asciiTheme="majorHAnsi" w:hAnsiTheme="majorHAnsi"/>
                <w:sz w:val="18"/>
              </w:rPr>
              <w:t xml:space="preserve"> safeguarding updates including all inset days. </w:t>
            </w: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Each inset day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Training record is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maintained,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 all staff have attended at least two safeguarding training sessions in the year and ideally four. </w:t>
            </w: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6. Audit HR files to ensure all safeguarding requirements are met and evidenced. </w:t>
            </w:r>
          </w:p>
          <w:p w:rsidR="00E6329F" w:rsidRDefault="00E6329F" w:rsidP="006A7A4A">
            <w:pPr>
              <w:pStyle w:val="ListParagraph"/>
              <w:ind w:left="0"/>
              <w:contextualSpacing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PLT (Rebecca Spencer)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Dec 17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</w:tcPr>
          <w:p w:rsidR="00E6329F" w:rsidRDefault="00E6329F" w:rsidP="00E6329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HR file spot-check is completed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termly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 xml:space="preserve"> and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cross referenced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 with information held on the SCR. </w:t>
            </w:r>
          </w:p>
          <w:p w:rsidR="00E6329F" w:rsidRDefault="00E6329F" w:rsidP="00E6329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No errors are found. </w:t>
            </w: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7. Introduce Chronologies for all safeguarding files to ensure that all actions are recorded </w:t>
            </w:r>
          </w:p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Nov 17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All files have updated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chronologies which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 can be submitted to CP panels. </w:t>
            </w: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8. Introduce E-Safety rules for KS1 and KS2. </w:t>
            </w:r>
          </w:p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 and MB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 xml:space="preserve">Initial agreements out Sept 17, monitoring of children’s knowledge ongoing across year. 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98% of children have returned a signed e-safety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agreement,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 class teachers have followed up verbally with parents who have not returned e-safety agreement. </w:t>
            </w:r>
          </w:p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Children are </w:t>
            </w:r>
            <w:proofErr w:type="gramStart"/>
            <w:r>
              <w:rPr>
                <w:rFonts w:ascii="Calibri" w:hAnsi="Calibri"/>
                <w:sz w:val="18"/>
                <w:szCs w:val="20"/>
              </w:rPr>
              <w:t>able  to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 articulate the e-safety rules and why they are important. </w:t>
            </w: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6329F" w:rsidRPr="00421F3A">
        <w:trPr>
          <w:trHeight w:val="539"/>
        </w:trPr>
        <w:tc>
          <w:tcPr>
            <w:tcW w:w="1951" w:type="dxa"/>
            <w:vMerge/>
          </w:tcPr>
          <w:p w:rsidR="00E6329F" w:rsidRDefault="00E6329F" w:rsidP="002D548D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E6329F" w:rsidRDefault="00E6329F" w:rsidP="006A7A4A">
            <w:pPr>
              <w:contextualSpacing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9. Improve children’s awareness of Safeguarding and, in particular, E-Safety. </w:t>
            </w:r>
          </w:p>
        </w:tc>
        <w:tc>
          <w:tcPr>
            <w:tcW w:w="1440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KS and MB</w:t>
            </w:r>
          </w:p>
        </w:tc>
        <w:tc>
          <w:tcPr>
            <w:tcW w:w="1537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July 2018</w:t>
            </w:r>
          </w:p>
        </w:tc>
        <w:tc>
          <w:tcPr>
            <w:tcW w:w="1134" w:type="dxa"/>
          </w:tcPr>
          <w:p w:rsidR="00E6329F" w:rsidRDefault="00E6329F" w:rsidP="002D548D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</w:tcPr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Safeguarding forms the focus of at least one assembly per term. </w:t>
            </w:r>
          </w:p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Safeguarding themes are included in the curriculum review and are planned into the new curriculum strategy for 2018-2019. </w:t>
            </w:r>
          </w:p>
          <w:p w:rsidR="00E6329F" w:rsidRDefault="00E6329F" w:rsidP="002D548D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All children have accessed NSPCC Pants Rule lessons or Speak Out, Stay Safe workshops. </w:t>
            </w:r>
          </w:p>
        </w:tc>
        <w:tc>
          <w:tcPr>
            <w:tcW w:w="1487" w:type="dxa"/>
            <w:vMerge/>
          </w:tcPr>
          <w:p w:rsidR="00E6329F" w:rsidRDefault="00E6329F" w:rsidP="004523AA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</w:tbl>
    <w:p w:rsidR="00086522" w:rsidRDefault="00086522" w:rsidP="00E6329F">
      <w:pPr>
        <w:rPr>
          <w:rFonts w:ascii="Calibri" w:hAnsi="Calibri"/>
          <w:sz w:val="20"/>
          <w:szCs w:val="72"/>
        </w:rPr>
      </w:pPr>
    </w:p>
    <w:tbl>
      <w:tblPr>
        <w:tblpPr w:leftFromText="180" w:rightFromText="180" w:vertAnchor="page" w:horzAnchor="page" w:tblpX="876" w:tblpY="905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19"/>
        <w:gridCol w:w="4502"/>
        <w:gridCol w:w="1418"/>
        <w:gridCol w:w="1559"/>
        <w:gridCol w:w="958"/>
        <w:gridCol w:w="3578"/>
        <w:gridCol w:w="1417"/>
      </w:tblGrid>
      <w:tr w:rsidR="00350A76" w:rsidRPr="005153DD">
        <w:tc>
          <w:tcPr>
            <w:tcW w:w="2019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  <w:tc>
          <w:tcPr>
            <w:tcW w:w="4502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Action to be taken</w:t>
            </w:r>
          </w:p>
        </w:tc>
        <w:tc>
          <w:tcPr>
            <w:tcW w:w="1418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Who?</w:t>
            </w:r>
          </w:p>
        </w:tc>
        <w:tc>
          <w:tcPr>
            <w:tcW w:w="1559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When/By?</w:t>
            </w:r>
          </w:p>
        </w:tc>
        <w:tc>
          <w:tcPr>
            <w:tcW w:w="958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 xml:space="preserve">Costs </w:t>
            </w:r>
          </w:p>
        </w:tc>
        <w:tc>
          <w:tcPr>
            <w:tcW w:w="3578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Success criteria</w:t>
            </w:r>
          </w:p>
        </w:tc>
        <w:tc>
          <w:tcPr>
            <w:tcW w:w="1417" w:type="dxa"/>
          </w:tcPr>
          <w:p w:rsidR="00350A76" w:rsidRPr="005153DD" w:rsidRDefault="00350A76" w:rsidP="00E6329F">
            <w:pPr>
              <w:spacing w:after="0"/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5153DD">
              <w:rPr>
                <w:rFonts w:asciiTheme="majorHAnsi" w:hAnsiTheme="majorHAnsi"/>
                <w:b/>
                <w:bCs/>
                <w:sz w:val="20"/>
                <w:szCs w:val="20"/>
              </w:rPr>
              <w:t>SC Monitored by?</w:t>
            </w:r>
          </w:p>
        </w:tc>
      </w:tr>
      <w:tr w:rsidR="00350A76" w:rsidRPr="005153DD">
        <w:tc>
          <w:tcPr>
            <w:tcW w:w="15451" w:type="dxa"/>
            <w:gridSpan w:val="7"/>
          </w:tcPr>
          <w:p w:rsidR="00350A76" w:rsidRPr="00350A76" w:rsidRDefault="00350A76" w:rsidP="00E6329F">
            <w:pPr>
              <w:spacing w:after="0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238CA">
              <w:rPr>
                <w:rFonts w:ascii="Calibri" w:hAnsi="Calibri"/>
                <w:b/>
                <w:caps/>
                <w:sz w:val="20"/>
              </w:rPr>
              <w:t>Quality of Teaching, Learning and Assessment – outcomes for pupils</w:t>
            </w:r>
          </w:p>
        </w:tc>
      </w:tr>
      <w:tr w:rsidR="009638BD" w:rsidRPr="005153DD">
        <w:trPr>
          <w:trHeight w:val="638"/>
        </w:trPr>
        <w:tc>
          <w:tcPr>
            <w:tcW w:w="2019" w:type="dxa"/>
            <w:vMerge w:val="restart"/>
          </w:tcPr>
          <w:p w:rsidR="009638BD" w:rsidRPr="00187A25" w:rsidRDefault="009638BD" w:rsidP="009638BD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  <w:r w:rsidRPr="00187A25">
              <w:rPr>
                <w:rFonts w:asciiTheme="majorHAnsi" w:hAnsiTheme="majorHAnsi"/>
                <w:sz w:val="18"/>
                <w:szCs w:val="20"/>
              </w:rPr>
              <w:t xml:space="preserve">Improve progress of children who have achieved at greater depth 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combined </w:t>
            </w:r>
            <w:r w:rsidRPr="00187A25">
              <w:rPr>
                <w:rFonts w:asciiTheme="majorHAnsi" w:hAnsiTheme="majorHAnsi"/>
                <w:sz w:val="18"/>
                <w:szCs w:val="20"/>
              </w:rPr>
              <w:t>in KS1</w:t>
            </w:r>
            <w:r>
              <w:rPr>
                <w:rFonts w:asciiTheme="majorHAnsi" w:hAnsiTheme="majorHAnsi"/>
                <w:sz w:val="18"/>
                <w:szCs w:val="20"/>
              </w:rPr>
              <w:t xml:space="preserve">. </w:t>
            </w:r>
          </w:p>
        </w:tc>
        <w:tc>
          <w:tcPr>
            <w:tcW w:w="4502" w:type="dxa"/>
          </w:tcPr>
          <w:p w:rsidR="009638BD" w:rsidRPr="00AF5837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Six weekly pupil progress meetings, to include a focus on improving progress for previously higher attainers.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KS/MB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Each half term</w:t>
            </w:r>
          </w:p>
        </w:tc>
        <w:tc>
          <w:tcPr>
            <w:tcW w:w="958" w:type="dxa"/>
          </w:tcPr>
          <w:p w:rsidR="009638BD" w:rsidRPr="00AF5837" w:rsidRDefault="002D09B0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 w:val="restart"/>
          </w:tcPr>
          <w:p w:rsidR="006715F4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End of KS2- 50% of children who have previously attained greater depth, attain greater depth again in each single strand. </w:t>
            </w:r>
          </w:p>
          <w:p w:rsidR="00EC1674" w:rsidRDefault="006715F4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40% of children who have previously attained greater depth in two or more strands, to achieve greater depth in RWM combined</w:t>
            </w:r>
            <w:proofErr w:type="gramStart"/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,.</w:t>
            </w:r>
            <w:proofErr w:type="gramEnd"/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 </w:t>
            </w:r>
          </w:p>
          <w:p w:rsidR="00641A73" w:rsidRDefault="00641A73" w:rsidP="00EC1674">
            <w:pPr>
              <w:rPr>
                <w:rFonts w:asciiTheme="majorHAnsi" w:hAnsiTheme="majorHAnsi"/>
                <w:sz w:val="18"/>
              </w:rPr>
            </w:pPr>
          </w:p>
          <w:p w:rsidR="00EC1674" w:rsidRPr="00EC1674" w:rsidRDefault="00641A73" w:rsidP="00EC1674">
            <w:pPr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sz w:val="18"/>
              </w:rPr>
              <w:t xml:space="preserve">End of KS1- </w:t>
            </w:r>
            <w:r w:rsidR="00EC1674" w:rsidRPr="00EC1674">
              <w:rPr>
                <w:rFonts w:asciiTheme="majorHAnsi" w:hAnsiTheme="majorHAnsi"/>
                <w:sz w:val="18"/>
              </w:rPr>
              <w:t>Ensure that 80% of children who were exceeding in RWM in EYFS achieve RWM combined at greater depth in Year 2. Ensure that 80% of children who were exceeding in one or two specific areas (e.g. writing, readin</w:t>
            </w:r>
            <w:r>
              <w:rPr>
                <w:rFonts w:asciiTheme="majorHAnsi" w:hAnsiTheme="majorHAnsi"/>
                <w:sz w:val="18"/>
              </w:rPr>
              <w:t xml:space="preserve">g) are exceeding in those areas. </w:t>
            </w:r>
          </w:p>
          <w:p w:rsidR="006715F4" w:rsidRDefault="006715F4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In Year 3, 80% of children who achieved at greater depth in RWM or a single strand to achieve greater depth again in RWM or that single strand. </w:t>
            </w:r>
          </w:p>
          <w:p w:rsidR="006715F4" w:rsidRDefault="006715F4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In Year 4 and Year 5, 70% of children who achieved at greater depth in KS1 (either combined RWM or a single strand) to achieve at greater depth in RWM or a single strand. I</w:t>
            </w:r>
          </w:p>
          <w:p w:rsidR="009638BD" w:rsidRDefault="00EC1674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I</w:t>
            </w:r>
            <w:r w:rsidR="006715F4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n Year One, all children who achieved a good level of development to achieve expected. All children who achieved at greater depth, to achieve at greater depth. </w:t>
            </w:r>
          </w:p>
          <w:p w:rsidR="009638BD" w:rsidRPr="00CA2F47" w:rsidRDefault="009638BD" w:rsidP="00E6329F">
            <w:pPr>
              <w:pStyle w:val="Sub-heading"/>
              <w:rPr>
                <w:rFonts w:asciiTheme="majorHAnsi" w:eastAsiaTheme="minorEastAsia" w:hAnsiTheme="majorHAnsi" w:cs="Times New Roman"/>
                <w:color w:val="000000"/>
                <w:sz w:val="18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9638BD" w:rsidRPr="00AF5837" w:rsidRDefault="009638BD" w:rsidP="00187A25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 w:rsidRPr="00B12C2E">
              <w:rPr>
                <w:rFonts w:asciiTheme="majorHAnsi" w:hAnsiTheme="majorHAnsi"/>
                <w:b/>
                <w:iCs/>
                <w:sz w:val="18"/>
                <w:szCs w:val="20"/>
              </w:rPr>
              <w:t xml:space="preserve">Gov: </w:t>
            </w:r>
            <w:r w:rsidRPr="00F8252D">
              <w:rPr>
                <w:rFonts w:asciiTheme="majorHAnsi" w:hAnsiTheme="majorHAnsi"/>
                <w:iCs/>
                <w:sz w:val="18"/>
                <w:szCs w:val="20"/>
              </w:rPr>
              <w:t>Chris Williams</w:t>
            </w:r>
          </w:p>
        </w:tc>
      </w:tr>
      <w:tr w:rsidR="009638BD" w:rsidRPr="005153DD">
        <w:trPr>
          <w:trHeight w:val="566"/>
        </w:trPr>
        <w:tc>
          <w:tcPr>
            <w:tcW w:w="2019" w:type="dxa"/>
            <w:vMerge/>
          </w:tcPr>
          <w:p w:rsidR="009638BD" w:rsidRPr="00187A25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proofErr w:type="spellStart"/>
            <w:r>
              <w:rPr>
                <w:rFonts w:asciiTheme="majorHAnsi" w:hAnsiTheme="majorHAnsi" w:cs="Helvetica"/>
                <w:sz w:val="18"/>
                <w:szCs w:val="20"/>
              </w:rPr>
              <w:t>Maths</w:t>
            </w:r>
            <w:proofErr w:type="spellEnd"/>
            <w:r>
              <w:rPr>
                <w:rFonts w:asciiTheme="majorHAnsi" w:hAnsiTheme="majorHAnsi" w:cs="Helvetica"/>
                <w:sz w:val="18"/>
                <w:szCs w:val="20"/>
              </w:rPr>
              <w:t xml:space="preserve"> CPD to focus on challenge, reasoning and problem solving skills for previously high attainers.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MB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 xml:space="preserve">Autumn 2 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566"/>
        </w:trPr>
        <w:tc>
          <w:tcPr>
            <w:tcW w:w="2019" w:type="dxa"/>
            <w:vMerge/>
          </w:tcPr>
          <w:p w:rsidR="009638BD" w:rsidRPr="00187A25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>Writing at Greater Depth focus for Inset- October 2017 and CPD Spring One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KS/PT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Two and Spring One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TBC</w:t>
            </w:r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566"/>
        </w:trPr>
        <w:tc>
          <w:tcPr>
            <w:tcW w:w="2019" w:type="dxa"/>
            <w:vMerge/>
          </w:tcPr>
          <w:p w:rsidR="009638BD" w:rsidRPr="00187A25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Close data scrutiny of Year 3 and Year 4, to ensure children do not begin a gradual slip from greater depth in Y2.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PT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ongoing</w:t>
            </w:r>
            <w:proofErr w:type="gramEnd"/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 xml:space="preserve">£150 Jason </w:t>
            </w:r>
            <w:proofErr w:type="spellStart"/>
            <w:r>
              <w:rPr>
                <w:rFonts w:asciiTheme="majorHAnsi" w:hAnsiTheme="majorHAnsi"/>
                <w:iCs/>
                <w:sz w:val="18"/>
                <w:szCs w:val="20"/>
              </w:rPr>
              <w:t>Hurr</w:t>
            </w:r>
            <w:proofErr w:type="spell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566"/>
        </w:trPr>
        <w:tc>
          <w:tcPr>
            <w:tcW w:w="2019" w:type="dxa"/>
            <w:vMerge/>
          </w:tcPr>
          <w:p w:rsidR="009638BD" w:rsidRPr="00187A25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Close data scrutiny of current Year 6 to target children who need to make accelerated progress.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PT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ongoing</w:t>
            </w:r>
            <w:proofErr w:type="gramEnd"/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 xml:space="preserve">£150 Jason </w:t>
            </w:r>
            <w:proofErr w:type="spellStart"/>
            <w:r>
              <w:rPr>
                <w:rFonts w:asciiTheme="majorHAnsi" w:hAnsiTheme="majorHAnsi"/>
                <w:iCs/>
                <w:sz w:val="18"/>
                <w:szCs w:val="20"/>
              </w:rPr>
              <w:t>Hurr</w:t>
            </w:r>
            <w:proofErr w:type="spell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569"/>
        </w:trPr>
        <w:tc>
          <w:tcPr>
            <w:tcW w:w="2019" w:type="dxa"/>
            <w:vMerge w:val="restart"/>
          </w:tcPr>
          <w:p w:rsidR="009638BD" w:rsidRPr="00187A25" w:rsidRDefault="009638BD" w:rsidP="009638BD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0"/>
              </w:rPr>
              <w:t>Improve whole school attendance</w:t>
            </w:r>
          </w:p>
        </w:tc>
        <w:tc>
          <w:tcPr>
            <w:tcW w:w="4502" w:type="dxa"/>
          </w:tcPr>
          <w:p w:rsidR="009638BD" w:rsidRPr="00AF5837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Create an attendance policy and make available on school website.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1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 w:val="restart"/>
          </w:tcPr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W</w:t>
            </w: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hole school attendance average is above 97% and that persistent absence is less than 5%. 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Class Targets: 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Lantic-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 96.5%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Cannis-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 96.5%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Gribben-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 97%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Coombe-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 97.5%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Readymoney-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97.5%</w:t>
            </w:r>
          </w:p>
          <w:p w:rsidR="009638BD" w:rsidRP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Polridmouth-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 97%</w:t>
            </w:r>
          </w:p>
          <w:p w:rsid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  <w:r w:rsidRPr="009638BD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Carne</w:t>
            </w:r>
            <w:r w:rsidR="00CD7B83"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>- 97.5%</w:t>
            </w:r>
          </w:p>
          <w:p w:rsidR="009638BD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  <w:p w:rsidR="009638BD" w:rsidRPr="009638BD" w:rsidRDefault="009638BD" w:rsidP="009638BD">
            <w:pPr>
              <w:pStyle w:val="Sub-heading"/>
              <w:rPr>
                <w:rFonts w:asciiTheme="majorHAnsi" w:hAnsiTheme="majorHAnsi"/>
                <w:sz w:val="18"/>
                <w:szCs w:val="20"/>
              </w:rPr>
            </w:pPr>
            <w:r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  <w:t xml:space="preserve">Children who are persistently absent (and who do not have additional needs which mitigate this) have a received an education planning meeting with Cornwall Council. </w:t>
            </w:r>
          </w:p>
        </w:tc>
        <w:tc>
          <w:tcPr>
            <w:tcW w:w="1417" w:type="dxa"/>
            <w:vMerge w:val="restart"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18"/>
                <w:szCs w:val="20"/>
              </w:rPr>
              <w:t xml:space="preserve">Gov: </w:t>
            </w:r>
            <w:proofErr w:type="spellStart"/>
            <w:r w:rsidRPr="00F8252D">
              <w:rPr>
                <w:rFonts w:asciiTheme="majorHAnsi" w:hAnsiTheme="majorHAnsi"/>
                <w:iCs/>
                <w:sz w:val="18"/>
                <w:szCs w:val="20"/>
              </w:rPr>
              <w:t>Jaine</w:t>
            </w:r>
            <w:proofErr w:type="spellEnd"/>
            <w:r w:rsidRPr="00F8252D">
              <w:rPr>
                <w:rFonts w:asciiTheme="majorHAnsi" w:hAnsiTheme="majorHAnsi"/>
                <w:iCs/>
                <w:sz w:val="18"/>
                <w:szCs w:val="20"/>
              </w:rPr>
              <w:t xml:space="preserve"> </w:t>
            </w:r>
            <w:proofErr w:type="spellStart"/>
            <w:r w:rsidRPr="00F8252D">
              <w:rPr>
                <w:rFonts w:asciiTheme="majorHAnsi" w:hAnsiTheme="majorHAnsi"/>
                <w:iCs/>
                <w:sz w:val="18"/>
                <w:szCs w:val="20"/>
              </w:rPr>
              <w:t>Colwill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20"/>
              </w:rPr>
              <w:t xml:space="preserve"> and Natalie Pepperell (</w:t>
            </w:r>
            <w:proofErr w:type="spellStart"/>
            <w:r>
              <w:rPr>
                <w:rFonts w:asciiTheme="majorHAnsi" w:hAnsiTheme="majorHAnsi"/>
                <w:iCs/>
                <w:sz w:val="18"/>
                <w:szCs w:val="20"/>
              </w:rPr>
              <w:t>behaviour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20"/>
              </w:rPr>
              <w:t>)</w:t>
            </w:r>
          </w:p>
        </w:tc>
      </w:tr>
      <w:tr w:rsidR="009638BD" w:rsidRPr="005153DD">
        <w:trPr>
          <w:trHeight w:val="693"/>
        </w:trPr>
        <w:tc>
          <w:tcPr>
            <w:tcW w:w="2019" w:type="dxa"/>
            <w:vMerge/>
          </w:tcPr>
          <w:p w:rsidR="009638BD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Pr="00AF5837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Create an attendance procedure and set of model letters to challenge non-attendance, share via website.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1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693"/>
        </w:trPr>
        <w:tc>
          <w:tcPr>
            <w:tcW w:w="2019" w:type="dxa"/>
            <w:vMerge/>
          </w:tcPr>
          <w:p w:rsidR="009638BD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Write to all families to highlight attendance targets this year and write again to families when a child’s attendance hits trigger points.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Office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1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430"/>
        </w:trPr>
        <w:tc>
          <w:tcPr>
            <w:tcW w:w="2019" w:type="dxa"/>
            <w:vMerge/>
          </w:tcPr>
          <w:p w:rsidR="009638BD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Review, with PVG, rewards for good attendance.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2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430"/>
        </w:trPr>
        <w:tc>
          <w:tcPr>
            <w:tcW w:w="2019" w:type="dxa"/>
            <w:vMerge/>
          </w:tcPr>
          <w:p w:rsidR="009638BD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Registers to be taken online so that patterns can quickly be spotted and challenged.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Office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1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430"/>
        </w:trPr>
        <w:tc>
          <w:tcPr>
            <w:tcW w:w="2019" w:type="dxa"/>
            <w:vMerge/>
          </w:tcPr>
          <w:p w:rsidR="009638BD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Each class to be set an attendance target, to form part of teacher performance management.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Autumn 1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9638BD" w:rsidRPr="005153DD">
        <w:trPr>
          <w:trHeight w:val="430"/>
        </w:trPr>
        <w:tc>
          <w:tcPr>
            <w:tcW w:w="2019" w:type="dxa"/>
            <w:vMerge/>
          </w:tcPr>
          <w:p w:rsidR="009638BD" w:rsidRDefault="009638BD" w:rsidP="00E6329F">
            <w:pPr>
              <w:spacing w:after="0"/>
              <w:rPr>
                <w:rFonts w:asciiTheme="majorHAnsi" w:hAnsiTheme="majorHAnsi"/>
                <w:sz w:val="18"/>
                <w:szCs w:val="20"/>
              </w:rPr>
            </w:pPr>
          </w:p>
        </w:tc>
        <w:tc>
          <w:tcPr>
            <w:tcW w:w="4502" w:type="dxa"/>
          </w:tcPr>
          <w:p w:rsidR="009638BD" w:rsidRDefault="009638BD" w:rsidP="00E6329F">
            <w:pPr>
              <w:contextualSpacing/>
              <w:rPr>
                <w:rFonts w:asciiTheme="majorHAnsi" w:hAnsiTheme="majorHAnsi" w:cs="Helvetica"/>
                <w:sz w:val="18"/>
                <w:szCs w:val="20"/>
              </w:rPr>
            </w:pPr>
            <w:r>
              <w:rPr>
                <w:rFonts w:asciiTheme="majorHAnsi" w:hAnsiTheme="majorHAnsi" w:cs="Helvetica"/>
                <w:sz w:val="18"/>
                <w:szCs w:val="20"/>
              </w:rPr>
              <w:t xml:space="preserve">Children who have previously been persistently absent to be targeted in September 2017 and any absences challenged robustly. </w:t>
            </w:r>
          </w:p>
        </w:tc>
        <w:tc>
          <w:tcPr>
            <w:tcW w:w="141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KS/Office</w:t>
            </w:r>
          </w:p>
        </w:tc>
        <w:tc>
          <w:tcPr>
            <w:tcW w:w="1559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r>
              <w:rPr>
                <w:rFonts w:asciiTheme="majorHAnsi" w:hAnsiTheme="majorHAnsi"/>
                <w:iCs/>
                <w:sz w:val="18"/>
                <w:szCs w:val="20"/>
              </w:rPr>
              <w:t>September 17</w:t>
            </w:r>
          </w:p>
        </w:tc>
        <w:tc>
          <w:tcPr>
            <w:tcW w:w="958" w:type="dxa"/>
          </w:tcPr>
          <w:p w:rsidR="009638BD" w:rsidRPr="00AF5837" w:rsidRDefault="009638BD" w:rsidP="00E6329F">
            <w:pPr>
              <w:spacing w:after="0"/>
              <w:rPr>
                <w:rFonts w:asciiTheme="majorHAnsi" w:hAnsiTheme="majorHAnsi"/>
                <w:iCs/>
                <w:sz w:val="18"/>
                <w:szCs w:val="20"/>
              </w:rPr>
            </w:pPr>
            <w:proofErr w:type="gramStart"/>
            <w:r>
              <w:rPr>
                <w:rFonts w:asciiTheme="majorHAnsi" w:hAnsiTheme="majorHAnsi"/>
                <w:iCs/>
                <w:sz w:val="18"/>
                <w:szCs w:val="20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9638BD" w:rsidRPr="00AF5837" w:rsidRDefault="009638BD" w:rsidP="00E6329F">
            <w:pPr>
              <w:pStyle w:val="Sub-heading"/>
              <w:rPr>
                <w:rFonts w:asciiTheme="majorHAnsi" w:hAnsiTheme="majorHAnsi"/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1417" w:type="dxa"/>
            <w:vMerge/>
          </w:tcPr>
          <w:p w:rsidR="009638BD" w:rsidRPr="00B12C2E" w:rsidRDefault="009638BD" w:rsidP="00187A25">
            <w:pPr>
              <w:spacing w:after="0"/>
              <w:rPr>
                <w:rFonts w:asciiTheme="majorHAnsi" w:hAnsiTheme="majorHAnsi"/>
                <w:b/>
                <w:iCs/>
                <w:sz w:val="18"/>
                <w:szCs w:val="20"/>
              </w:rPr>
            </w:pPr>
          </w:p>
        </w:tc>
      </w:tr>
      <w:tr w:rsidR="00615D05" w:rsidRPr="005153DD">
        <w:trPr>
          <w:trHeight w:val="809"/>
        </w:trPr>
        <w:tc>
          <w:tcPr>
            <w:tcW w:w="2019" w:type="dxa"/>
            <w:vMerge w:val="restart"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Curriculum Review: </w:t>
            </w:r>
          </w:p>
          <w:p w:rsidR="00615D05" w:rsidRPr="009A13B3" w:rsidRDefault="00615D05" w:rsidP="00E6329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Review all aspects of the curriculum to devise a new curriculum overview for 2017-2018. </w:t>
            </w:r>
          </w:p>
        </w:tc>
        <w:tc>
          <w:tcPr>
            <w:tcW w:w="4502" w:type="dxa"/>
          </w:tcPr>
          <w:p w:rsidR="00615D05" w:rsidRPr="00FE2285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1. Consultation with parents, staff and school community and creation of new SRE policy to reflect British Values and e-safety. </w:t>
            </w: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Jan 18</w:t>
            </w:r>
          </w:p>
        </w:tc>
        <w:tc>
          <w:tcPr>
            <w:tcW w:w="95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 w:val="restart"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New curriculum model to be launched in 2018-2019</w:t>
            </w:r>
          </w:p>
        </w:tc>
        <w:tc>
          <w:tcPr>
            <w:tcW w:w="1417" w:type="dxa"/>
            <w:vMerge w:val="restart"/>
          </w:tcPr>
          <w:p w:rsidR="00615D05" w:rsidRPr="009A13B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Gov:  </w:t>
            </w:r>
            <w:r w:rsidRPr="00F8252D">
              <w:rPr>
                <w:rFonts w:ascii="Calibri" w:hAnsi="Calibri"/>
                <w:iCs/>
                <w:sz w:val="18"/>
                <w:szCs w:val="18"/>
              </w:rPr>
              <w:t xml:space="preserve">Kay </w:t>
            </w:r>
            <w:proofErr w:type="spellStart"/>
            <w:r w:rsidRPr="00F8252D">
              <w:rPr>
                <w:rFonts w:ascii="Calibri" w:hAnsi="Calibri"/>
                <w:iCs/>
                <w:sz w:val="18"/>
                <w:szCs w:val="18"/>
              </w:rPr>
              <w:t>Peacey</w:t>
            </w:r>
            <w:proofErr w:type="spellEnd"/>
            <w:r w:rsidRPr="00F8252D">
              <w:rPr>
                <w:rFonts w:ascii="Calibri" w:hAnsi="Calibri"/>
                <w:iCs/>
                <w:sz w:val="18"/>
                <w:szCs w:val="18"/>
              </w:rPr>
              <w:t xml:space="preserve"> (eng), Kay Taylor (ma) and Chris Williams (standards)</w:t>
            </w:r>
          </w:p>
        </w:tc>
      </w:tr>
      <w:tr w:rsidR="00615D05" w:rsidRPr="005153DD">
        <w:trPr>
          <w:trHeight w:val="565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2. Review the school’s vision and values, re-launching a new vision and values after consultation.</w:t>
            </w:r>
          </w:p>
        </w:tc>
        <w:tc>
          <w:tcPr>
            <w:tcW w:w="141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1</w:t>
            </w:r>
          </w:p>
        </w:tc>
        <w:tc>
          <w:tcPr>
            <w:tcW w:w="95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£100- branding</w:t>
            </w:r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9A13B3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2.  New teaching and learning policy. </w:t>
            </w:r>
          </w:p>
          <w:p w:rsidR="00615D05" w:rsidRDefault="00615D05" w:rsidP="009A13B3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  <w:vMerge w:val="restart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Ready for July 18, implemented September 2018.</w:t>
            </w:r>
          </w:p>
        </w:tc>
        <w:tc>
          <w:tcPr>
            <w:tcW w:w="95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9A13B3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3. Revised curriculum for 2018-2019 to be devised, ensuring that PSHE, British Values, Safeguarding and Computing are embedded rather than stand-alone </w:t>
            </w: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 xml:space="preserve">add  </w:t>
            </w:r>
            <w:proofErr w:type="spellStart"/>
            <w:r>
              <w:rPr>
                <w:rFonts w:ascii="Calibri" w:hAnsi="Calibri"/>
                <w:iCs/>
                <w:sz w:val="18"/>
                <w:szCs w:val="18"/>
              </w:rPr>
              <w:t>ons</w:t>
            </w:r>
            <w:proofErr w:type="spellEnd"/>
            <w:proofErr w:type="gramEnd"/>
            <w:r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KS/MB/PT/EW/ JJ</w:t>
            </w:r>
          </w:p>
        </w:tc>
        <w:tc>
          <w:tcPr>
            <w:tcW w:w="1559" w:type="dxa"/>
            <w:vMerge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95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TBC</w:t>
            </w:r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9A13B3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4. All teaching staff given the opportunity to visit outstanding schools locally and nationally and feedback on different curriculum models. </w:t>
            </w:r>
          </w:p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July 18</w:t>
            </w:r>
          </w:p>
        </w:tc>
        <w:tc>
          <w:tcPr>
            <w:tcW w:w="958" w:type="dxa"/>
          </w:tcPr>
          <w:p w:rsidR="00615D05" w:rsidRPr="002E17F3" w:rsidRDefault="00EC1674" w:rsidP="00EC1674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£1000 travel</w:t>
            </w:r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9A13B3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5. Review of Inspire Curriculum. </w:t>
            </w:r>
          </w:p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EW/KS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1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9A13B3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6. Review of English Curriculum. </w:t>
            </w:r>
          </w:p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2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7. Review of </w:t>
            </w:r>
            <w:proofErr w:type="spellStart"/>
            <w:r>
              <w:rPr>
                <w:rFonts w:ascii="Calibri" w:hAnsi="Calibri"/>
                <w:iCs/>
                <w:sz w:val="18"/>
                <w:szCs w:val="18"/>
              </w:rPr>
              <w:t>Maths</w:t>
            </w:r>
            <w:proofErr w:type="spellEnd"/>
            <w:r>
              <w:rPr>
                <w:rFonts w:ascii="Calibri" w:hAnsi="Calibri"/>
                <w:iCs/>
                <w:sz w:val="18"/>
                <w:szCs w:val="18"/>
              </w:rPr>
              <w:t xml:space="preserve"> Curriculum. </w:t>
            </w:r>
          </w:p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MB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1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8. Review of Science Curriculum. </w:t>
            </w:r>
          </w:p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EW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2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9. Review of SRE, PSHE and British Values teaching. </w:t>
            </w:r>
          </w:p>
          <w:p w:rsidR="00615D05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VO and JJ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1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10. Review of Wednesday Workshops to ensure progression in learning and skills. </w:t>
            </w:r>
          </w:p>
          <w:p w:rsidR="00615D05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PC/KS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1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11. Review of homework policy, home reading and spellings. </w:t>
            </w:r>
          </w:p>
          <w:p w:rsidR="00615D05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2</w:t>
            </w:r>
          </w:p>
        </w:tc>
        <w:tc>
          <w:tcPr>
            <w:tcW w:w="958" w:type="dxa"/>
          </w:tcPr>
          <w:p w:rsidR="00615D05" w:rsidRPr="002E17F3" w:rsidRDefault="00EC1674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615D05" w:rsidRPr="005153DD">
        <w:trPr>
          <w:trHeight w:val="557"/>
        </w:trPr>
        <w:tc>
          <w:tcPr>
            <w:tcW w:w="2019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615D05" w:rsidRDefault="00615D05" w:rsidP="00E909B2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12. Review of parental engagement with learning. </w:t>
            </w:r>
          </w:p>
          <w:p w:rsidR="00615D05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615D05" w:rsidRPr="002E17F3" w:rsidRDefault="00615D05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2</w:t>
            </w:r>
          </w:p>
        </w:tc>
        <w:tc>
          <w:tcPr>
            <w:tcW w:w="958" w:type="dxa"/>
          </w:tcPr>
          <w:p w:rsidR="00615D05" w:rsidRPr="002E17F3" w:rsidRDefault="00B94D96" w:rsidP="00E6329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615D05" w:rsidRPr="002E17F3" w:rsidRDefault="00615D05" w:rsidP="00E6329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15D05" w:rsidRDefault="00615D05" w:rsidP="00E6329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840"/>
        </w:trPr>
        <w:tc>
          <w:tcPr>
            <w:tcW w:w="2019" w:type="dxa"/>
            <w:vMerge w:val="restart"/>
          </w:tcPr>
          <w:p w:rsidR="00641A73" w:rsidRPr="002E17F3" w:rsidRDefault="00E713FF" w:rsidP="00641A73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English: </w:t>
            </w:r>
            <w:r w:rsidR="00641A73">
              <w:rPr>
                <w:rFonts w:ascii="Calibri" w:hAnsi="Calibri"/>
                <w:b/>
                <w:sz w:val="18"/>
              </w:rPr>
              <w:t>Reading</w:t>
            </w:r>
          </w:p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  <w:p w:rsidR="00E713FF" w:rsidRPr="002E17F3" w:rsidRDefault="00E713FF" w:rsidP="00E713F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Implement whole class reading in KS2 and continue to monitor the success of RWI in KS1. </w:t>
            </w:r>
          </w:p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Phonics</w:t>
            </w:r>
          </w:p>
          <w:p w:rsidR="00E713FF" w:rsidRPr="009A13B3" w:rsidRDefault="00E713FF" w:rsidP="00E713FF">
            <w:pPr>
              <w:rPr>
                <w:rFonts w:ascii="Calibri" w:hAnsi="Calibri"/>
                <w:sz w:val="18"/>
                <w:szCs w:val="20"/>
              </w:rPr>
            </w:pPr>
            <w:r w:rsidRPr="009A13B3">
              <w:rPr>
                <w:rFonts w:ascii="Calibri" w:hAnsi="Calibri"/>
                <w:sz w:val="18"/>
              </w:rPr>
              <w:t xml:space="preserve">Continue to closely monitor RWI phonics to ensure improvements seen in 2016-2017 are sustained. </w:t>
            </w:r>
          </w:p>
        </w:tc>
        <w:tc>
          <w:tcPr>
            <w:tcW w:w="4502" w:type="dxa"/>
          </w:tcPr>
          <w:p w:rsidR="00E713FF" w:rsidRPr="00FE2285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1. Consultation with parents, staff and children to create a canon of books for Fowey (to be refreshed every two years. </w:t>
            </w:r>
          </w:p>
        </w:tc>
        <w:tc>
          <w:tcPr>
            <w:tcW w:w="141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PT/KS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1</w:t>
            </w:r>
          </w:p>
        </w:tc>
        <w:tc>
          <w:tcPr>
            <w:tcW w:w="958" w:type="dxa"/>
          </w:tcPr>
          <w:p w:rsidR="00E713FF" w:rsidRPr="002E17F3" w:rsidRDefault="00B94D96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£2500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 for new books</w:t>
            </w:r>
          </w:p>
        </w:tc>
        <w:tc>
          <w:tcPr>
            <w:tcW w:w="3578" w:type="dxa"/>
            <w:vMerge w:val="restart"/>
          </w:tcPr>
          <w:p w:rsidR="00CB32C8" w:rsidRPr="00CB32C8" w:rsidRDefault="00CB32C8" w:rsidP="00CB32C8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>Reading</w:t>
            </w:r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 Outcomes: </w:t>
            </w:r>
          </w:p>
          <w:p w:rsidR="00CB32C8" w:rsidRPr="00CB32C8" w:rsidRDefault="00CB32C8" w:rsidP="00CB32C8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% </w:t>
            </w:r>
            <w:proofErr w:type="gramStart"/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>of</w:t>
            </w:r>
            <w:proofErr w:type="gramEnd"/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 children achieving at expected standard in </w:t>
            </w:r>
            <w:r>
              <w:rPr>
                <w:rFonts w:ascii="Calibri" w:hAnsi="Calibri"/>
                <w:b/>
                <w:iCs/>
                <w:sz w:val="18"/>
                <w:szCs w:val="18"/>
              </w:rPr>
              <w:t>reading</w:t>
            </w:r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: </w:t>
            </w:r>
          </w:p>
          <w:p w:rsidR="00CB32C8" w:rsidRPr="00CB32C8" w:rsidRDefault="00CB32C8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Lantic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-   85% GLD 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Cannis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- 85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Gribben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- 90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Coombe-85%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Readymoney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- 90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Polridmouth-85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Carne- 87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CB32C8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</w:p>
          <w:p w:rsidR="00CB32C8" w:rsidRPr="00CB32C8" w:rsidRDefault="00CB32C8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% </w:t>
            </w:r>
            <w:proofErr w:type="gram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of</w:t>
            </w:r>
            <w:proofErr w:type="gram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 children achieving at greater depth in </w:t>
            </w:r>
            <w:r w:rsidR="0096354A">
              <w:rPr>
                <w:rFonts w:asciiTheme="majorHAnsi" w:hAnsiTheme="majorHAnsi"/>
                <w:iCs/>
                <w:sz w:val="18"/>
                <w:szCs w:val="18"/>
              </w:rPr>
              <w:t>reading</w:t>
            </w: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: </w:t>
            </w:r>
          </w:p>
          <w:p w:rsidR="00CB32C8" w:rsidRPr="00CB32C8" w:rsidRDefault="00CB32C8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Lantic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- 20% exceeding GLD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Cannis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- 25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% 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Gribben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- 30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Coombe</w:t>
            </w:r>
            <w:proofErr w:type="spellEnd"/>
            <w:proofErr w:type="gramStart"/>
            <w:r>
              <w:rPr>
                <w:rFonts w:asciiTheme="majorHAnsi" w:hAnsiTheme="majorHAnsi"/>
                <w:iCs/>
                <w:sz w:val="18"/>
                <w:szCs w:val="18"/>
              </w:rPr>
              <w:t>-  35</w:t>
            </w:r>
            <w:proofErr w:type="gramEnd"/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Readymoney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- 35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96354A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iCs/>
                <w:sz w:val="18"/>
                <w:szCs w:val="18"/>
              </w:rPr>
              <w:t>Polridmouth</w:t>
            </w:r>
            <w:proofErr w:type="spellEnd"/>
            <w:r>
              <w:rPr>
                <w:rFonts w:asciiTheme="majorHAnsi" w:hAnsiTheme="majorHAnsi"/>
                <w:iCs/>
                <w:sz w:val="18"/>
                <w:szCs w:val="18"/>
              </w:rPr>
              <w:t>- 28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CB32C8" w:rsidRPr="00CB32C8" w:rsidRDefault="00615D05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sz w:val="18"/>
                <w:szCs w:val="18"/>
              </w:rPr>
              <w:t>Carne- 25</w:t>
            </w:r>
            <w:r w:rsidR="00CB32C8"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E713FF" w:rsidRDefault="00CB32C8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Gov: </w:t>
            </w:r>
            <w:r w:rsidRPr="00CB32C8">
              <w:rPr>
                <w:rFonts w:ascii="Calibri" w:hAnsi="Calibri"/>
                <w:iCs/>
                <w:sz w:val="18"/>
                <w:szCs w:val="18"/>
              </w:rPr>
              <w:t xml:space="preserve">Kay </w:t>
            </w:r>
            <w:proofErr w:type="spellStart"/>
            <w:r w:rsidRPr="00CB32C8">
              <w:rPr>
                <w:rFonts w:ascii="Calibri" w:hAnsi="Calibri"/>
                <w:iCs/>
                <w:sz w:val="18"/>
                <w:szCs w:val="18"/>
              </w:rPr>
              <w:t>Peacey</w:t>
            </w:r>
            <w:proofErr w:type="spellEnd"/>
            <w:r w:rsidRPr="00CB32C8">
              <w:rPr>
                <w:rFonts w:ascii="Calibri" w:hAnsi="Calibri"/>
                <w:iCs/>
                <w:sz w:val="18"/>
                <w:szCs w:val="18"/>
              </w:rPr>
              <w:t xml:space="preserve"> (eng)</w:t>
            </w:r>
          </w:p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2. Staff training in whole class reading.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Sept 17</w:t>
            </w:r>
          </w:p>
        </w:tc>
        <w:tc>
          <w:tcPr>
            <w:tcW w:w="95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3. Shared strategy for the effective teaching of whole class reading developed and articulated by children, parents and staff.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ongoing</w:t>
            </w:r>
            <w:proofErr w:type="gramEnd"/>
          </w:p>
        </w:tc>
        <w:tc>
          <w:tcPr>
            <w:tcW w:w="95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4. Monitoring of whole class reading and RWI through scheduled learning walks and pop-ins. Ensuring a high standard of questioning and challenge.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PT/KS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ongoing</w:t>
            </w:r>
            <w:proofErr w:type="gramEnd"/>
          </w:p>
        </w:tc>
        <w:tc>
          <w:tcPr>
            <w:tcW w:w="95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5. SEND children identified for pre-teaching, which allows them to participate regularly in whole class reading session.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MB/PT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ongoing</w:t>
            </w:r>
            <w:proofErr w:type="gramEnd"/>
          </w:p>
        </w:tc>
        <w:tc>
          <w:tcPr>
            <w:tcW w:w="95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£1000 teaching assistant salaries</w:t>
            </w:r>
          </w:p>
        </w:tc>
        <w:tc>
          <w:tcPr>
            <w:tcW w:w="3578" w:type="dxa"/>
            <w:vMerge/>
          </w:tcPr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6. Middle Leader trained in effectively monitoring whole class reading and coaching staff to improve outcomes. </w:t>
            </w:r>
          </w:p>
        </w:tc>
        <w:tc>
          <w:tcPr>
            <w:tcW w:w="141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KS/PT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July 18</w:t>
            </w:r>
          </w:p>
        </w:tc>
        <w:tc>
          <w:tcPr>
            <w:tcW w:w="95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99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641A73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1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>. Ensure a high standard of RWI delivery is maintained.</w:t>
            </w:r>
          </w:p>
          <w:p w:rsidR="00E713FF" w:rsidRPr="009B7C73" w:rsidRDefault="00E713FF" w:rsidP="00E713FF">
            <w:pPr>
              <w:contextualSpacing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Dec 17</w:t>
            </w:r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 w:val="restart"/>
          </w:tcPr>
          <w:p w:rsidR="00E713FF" w:rsidRDefault="00E713FF" w:rsidP="00E713FF">
            <w:pPr>
              <w:rPr>
                <w:rFonts w:ascii="Calibri" w:hAnsi="Calibri"/>
                <w:sz w:val="18"/>
              </w:rPr>
            </w:pPr>
            <w:r w:rsidRPr="0006641C">
              <w:rPr>
                <w:rFonts w:ascii="Calibri" w:hAnsi="Calibri"/>
                <w:sz w:val="18"/>
              </w:rPr>
              <w:t>Phonics screenin</w:t>
            </w:r>
            <w:r>
              <w:rPr>
                <w:rFonts w:ascii="Calibri" w:hAnsi="Calibri"/>
                <w:sz w:val="18"/>
              </w:rPr>
              <w:t>g check scores to be at least 90</w:t>
            </w:r>
            <w:r w:rsidRPr="0006641C">
              <w:rPr>
                <w:rFonts w:ascii="Calibri" w:hAnsi="Calibri"/>
                <w:sz w:val="18"/>
              </w:rPr>
              <w:t>%</w:t>
            </w:r>
            <w:r>
              <w:rPr>
                <w:rFonts w:ascii="Calibri" w:hAnsi="Calibri"/>
                <w:sz w:val="18"/>
              </w:rPr>
              <w:t>.</w:t>
            </w:r>
          </w:p>
          <w:p w:rsidR="00E713FF" w:rsidRPr="00F238CA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F238CA">
              <w:rPr>
                <w:rFonts w:ascii="Calibri" w:hAnsi="Calibri"/>
                <w:b/>
                <w:iCs/>
                <w:sz w:val="18"/>
                <w:szCs w:val="18"/>
              </w:rPr>
              <w:t>EYFS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 xml:space="preserve">Autumn 1 </w:t>
            </w:r>
            <w:r>
              <w:rPr>
                <w:rFonts w:ascii="Calibri" w:hAnsi="Calibri"/>
                <w:iCs/>
                <w:sz w:val="18"/>
                <w:szCs w:val="18"/>
              </w:rPr>
              <w:t>- 30% Secure within section A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Autumn 2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- 80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% Secure at </w:t>
            </w:r>
            <w:r>
              <w:rPr>
                <w:rFonts w:ascii="Calibri" w:hAnsi="Calibri"/>
                <w:iCs/>
                <w:sz w:val="18"/>
                <w:szCs w:val="18"/>
              </w:rPr>
              <w:t>section A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Spring 1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- 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30% Secure at </w:t>
            </w:r>
            <w:r>
              <w:rPr>
                <w:rFonts w:ascii="Calibri" w:hAnsi="Calibri"/>
                <w:iCs/>
                <w:sz w:val="18"/>
                <w:szCs w:val="18"/>
              </w:rPr>
              <w:t>section B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Spring 2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- 80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% </w:t>
            </w:r>
            <w:r>
              <w:rPr>
                <w:rFonts w:ascii="Calibri" w:hAnsi="Calibri"/>
                <w:iCs/>
                <w:sz w:val="18"/>
                <w:szCs w:val="18"/>
              </w:rPr>
              <w:t>Secure at section B - 10% Exceeding section B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Summer 1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- 85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% Secure at 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section C - 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50% Secure at </w:t>
            </w:r>
            <w:r>
              <w:rPr>
                <w:rFonts w:ascii="Calibri" w:hAnsi="Calibri"/>
                <w:iCs/>
                <w:sz w:val="18"/>
                <w:szCs w:val="18"/>
              </w:rPr>
              <w:t>section D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Summer 2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- 85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% Secure at </w:t>
            </w:r>
            <w:r>
              <w:rPr>
                <w:rFonts w:ascii="Calibri" w:hAnsi="Calibri"/>
                <w:iCs/>
                <w:sz w:val="18"/>
                <w:szCs w:val="18"/>
              </w:rPr>
              <w:t>section D - 10% Exceeding section D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3250B">
              <w:rPr>
                <w:rFonts w:ascii="Calibri" w:hAnsi="Calibri"/>
                <w:b/>
                <w:iCs/>
                <w:sz w:val="18"/>
                <w:szCs w:val="18"/>
              </w:rPr>
              <w:t>Year 1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Autumn 1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- 60% Secure at section E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Autumn 2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- 100% Secure at section E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Spring 1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- 30% Secure at section F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Spring 2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- 75% Secure at section F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Summer 1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- 80% Secure at section G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>- 10% Secure at section H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Summer 2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- 85% Secure at section I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>-15% Secure at section J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43250B">
              <w:rPr>
                <w:rFonts w:ascii="Calibri" w:hAnsi="Calibri"/>
                <w:b/>
                <w:iCs/>
                <w:sz w:val="18"/>
                <w:szCs w:val="18"/>
              </w:rPr>
              <w:t>Year 2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Autumn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- 70% Secure at section J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Spring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- 90% Secure at section J and having progressed onto RWI Spelling.</w:t>
            </w:r>
          </w:p>
          <w:p w:rsidR="00E713FF" w:rsidRPr="0043250B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AF5837">
              <w:rPr>
                <w:rFonts w:ascii="Calibri" w:hAnsi="Calibri"/>
                <w:b/>
                <w:iCs/>
                <w:sz w:val="18"/>
                <w:szCs w:val="18"/>
              </w:rPr>
              <w:t>Summer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 –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Pr="0043250B">
              <w:rPr>
                <w:rFonts w:ascii="Calibri" w:hAnsi="Calibri"/>
                <w:iCs/>
                <w:sz w:val="18"/>
                <w:szCs w:val="18"/>
              </w:rPr>
              <w:t xml:space="preserve">90% of children working at age related expectations. </w:t>
            </w:r>
          </w:p>
          <w:p w:rsidR="00E713FF" w:rsidRPr="002E17F3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 w:rsidRPr="0043250B">
              <w:rPr>
                <w:rFonts w:ascii="Calibri" w:hAnsi="Calibri"/>
                <w:iCs/>
                <w:sz w:val="18"/>
                <w:szCs w:val="18"/>
              </w:rPr>
              <w:t>Phonics screening retake - 90%</w:t>
            </w:r>
            <w:r w:rsidRPr="002E17F3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E713FF" w:rsidRPr="004523AA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iCs/>
                <w:sz w:val="18"/>
                <w:szCs w:val="18"/>
              </w:rPr>
              <w:t xml:space="preserve">Gov:  </w:t>
            </w:r>
            <w:r w:rsidRPr="00F8252D">
              <w:rPr>
                <w:rFonts w:ascii="Calibri" w:hAnsi="Calibri"/>
                <w:iCs/>
                <w:sz w:val="18"/>
                <w:szCs w:val="18"/>
              </w:rPr>
              <w:t xml:space="preserve">Kay </w:t>
            </w:r>
            <w:proofErr w:type="spellStart"/>
            <w:r w:rsidRPr="00F8252D">
              <w:rPr>
                <w:rFonts w:ascii="Calibri" w:hAnsi="Calibri"/>
                <w:iCs/>
                <w:sz w:val="18"/>
                <w:szCs w:val="18"/>
              </w:rPr>
              <w:t>Peacey</w:t>
            </w:r>
            <w:proofErr w:type="spellEnd"/>
            <w:r w:rsidRPr="00F8252D">
              <w:rPr>
                <w:rFonts w:ascii="Calibri" w:hAnsi="Calibri"/>
                <w:iCs/>
                <w:sz w:val="18"/>
                <w:szCs w:val="18"/>
              </w:rPr>
              <w:t xml:space="preserve"> (English) and Sinead Hanks (EYFS)</w:t>
            </w: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Pr="004F4030" w:rsidRDefault="00641A73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2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. All groups of learners (including interventions) are consistently planned for.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ongoing</w:t>
            </w:r>
            <w:proofErr w:type="gramEnd"/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641A73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3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. 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 Targeted home/school liaison for children 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>who are below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 age related expectation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s. </w:t>
            </w: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October 17</w:t>
            </w:r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641A73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4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. 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>Morning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 and evening 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parent/child 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>workshops to introduce RWI to parents</w:t>
            </w: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Nov 17</w:t>
            </w:r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641A73" w:rsidP="00E713F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E713FF">
              <w:rPr>
                <w:rFonts w:ascii="Calibri" w:hAnsi="Calibri"/>
                <w:sz w:val="18"/>
                <w:szCs w:val="18"/>
              </w:rPr>
              <w:t xml:space="preserve">. Teachers </w:t>
            </w:r>
            <w:r w:rsidR="00E713FF" w:rsidRPr="004F4030">
              <w:rPr>
                <w:rFonts w:ascii="Calibri" w:hAnsi="Calibri"/>
                <w:sz w:val="18"/>
                <w:szCs w:val="18"/>
              </w:rPr>
              <w:t>provide opportunities to consolidate/reinforce/extend learning outside the phonics/spelling session.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Dec 17</w:t>
            </w:r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Pr="004F4030" w:rsidRDefault="00641A73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6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. 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Invite pre-school leaders to visit school and observe the 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teaching of 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RWI 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phonics.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1</w:t>
            </w:r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557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641A73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7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. </w:t>
            </w:r>
            <w:r w:rsidR="00E713FF" w:rsidRPr="004F4030">
              <w:rPr>
                <w:rFonts w:ascii="Calibri" w:hAnsi="Calibri"/>
                <w:iCs/>
                <w:sz w:val="18"/>
                <w:szCs w:val="18"/>
              </w:rPr>
              <w:t xml:space="preserve"> 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 xml:space="preserve">RWI Phonic resources/flashcards to be given to pre-school at the beginning of the summer term to be used to support phonic development. 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Summer 1</w:t>
            </w:r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E713FF" w:rsidRPr="005153DD">
        <w:trPr>
          <w:trHeight w:val="2062"/>
        </w:trPr>
        <w:tc>
          <w:tcPr>
            <w:tcW w:w="2019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4502" w:type="dxa"/>
          </w:tcPr>
          <w:p w:rsidR="00E713FF" w:rsidRDefault="00641A73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8</w:t>
            </w:r>
            <w:r w:rsidR="00E713FF">
              <w:rPr>
                <w:rFonts w:ascii="Calibri" w:hAnsi="Calibri"/>
                <w:iCs/>
                <w:sz w:val="18"/>
                <w:szCs w:val="18"/>
              </w:rPr>
              <w:t>. Observations and moderation to ensure consistency of approach to the teaching of RWI phonics in KS1/EYFS, to include video analysis and sharing of practice.</w:t>
            </w:r>
          </w:p>
          <w:p w:rsidR="00E713FF" w:rsidRDefault="00E713FF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8" w:type="dxa"/>
          </w:tcPr>
          <w:p w:rsidR="00E713FF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JJ/KS</w:t>
            </w:r>
          </w:p>
        </w:tc>
        <w:tc>
          <w:tcPr>
            <w:tcW w:w="1559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ongoing</w:t>
            </w:r>
            <w:proofErr w:type="gramEnd"/>
          </w:p>
        </w:tc>
        <w:tc>
          <w:tcPr>
            <w:tcW w:w="958" w:type="dxa"/>
          </w:tcPr>
          <w:p w:rsidR="00E713FF" w:rsidRPr="002E17F3" w:rsidRDefault="00E713FF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E713FF" w:rsidRPr="0006641C" w:rsidRDefault="00E713FF" w:rsidP="00E713FF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17" w:type="dxa"/>
            <w:vMerge/>
          </w:tcPr>
          <w:p w:rsidR="00E713FF" w:rsidRDefault="00E713FF" w:rsidP="00E713FF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 w:val="restart"/>
          </w:tcPr>
          <w:p w:rsidR="00120D3D" w:rsidRPr="002E17F3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English Writing</w:t>
            </w:r>
          </w:p>
        </w:tc>
        <w:tc>
          <w:tcPr>
            <w:tcW w:w="4502" w:type="dxa"/>
          </w:tcPr>
          <w:p w:rsidR="00120D3D" w:rsidRPr="009B7C73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1. Increased observations of writing scrutiny through monitoring cycle. </w:t>
            </w:r>
          </w:p>
        </w:tc>
        <w:tc>
          <w:tcPr>
            <w:tcW w:w="141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PT/KS</w:t>
            </w:r>
          </w:p>
        </w:tc>
        <w:tc>
          <w:tcPr>
            <w:tcW w:w="1559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One</w:t>
            </w:r>
          </w:p>
        </w:tc>
        <w:tc>
          <w:tcPr>
            <w:tcW w:w="95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 w:val="restart"/>
          </w:tcPr>
          <w:p w:rsidR="00120D3D" w:rsidRPr="00CB32C8" w:rsidRDefault="00120D3D" w:rsidP="00E713FF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Writing Outcomes: </w:t>
            </w:r>
          </w:p>
          <w:p w:rsidR="00120D3D" w:rsidRPr="00CB32C8" w:rsidRDefault="00120D3D" w:rsidP="00E713FF">
            <w:pPr>
              <w:contextualSpacing/>
              <w:rPr>
                <w:rFonts w:ascii="Calibri" w:hAnsi="Calibri"/>
                <w:b/>
                <w:iCs/>
                <w:sz w:val="18"/>
                <w:szCs w:val="18"/>
              </w:rPr>
            </w:pPr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% </w:t>
            </w:r>
            <w:proofErr w:type="gramStart"/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>of</w:t>
            </w:r>
            <w:proofErr w:type="gramEnd"/>
            <w:r w:rsidRPr="00CB32C8">
              <w:rPr>
                <w:rFonts w:ascii="Calibri" w:hAnsi="Calibri"/>
                <w:b/>
                <w:iCs/>
                <w:sz w:val="18"/>
                <w:szCs w:val="18"/>
              </w:rPr>
              <w:t xml:space="preserve"> children achieving at expected standard in writing: </w:t>
            </w: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Lantic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-   85% GLD </w:t>
            </w: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Cannis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- 80%</w:t>
            </w: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Gribben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- 75%</w:t>
            </w:r>
          </w:p>
          <w:p w:rsidR="00120D3D" w:rsidRPr="00CB32C8" w:rsidRDefault="00120D3D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Coombe-80%</w:t>
            </w:r>
          </w:p>
          <w:p w:rsidR="00120D3D" w:rsidRPr="00CB32C8" w:rsidRDefault="00120D3D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Readymoney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- 75%</w:t>
            </w: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Polridmouth-78%</w:t>
            </w: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Carne- 80%</w:t>
            </w: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</w:p>
          <w:p w:rsidR="00120D3D" w:rsidRPr="00CB32C8" w:rsidRDefault="00120D3D" w:rsidP="00E713F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% </w:t>
            </w:r>
            <w:proofErr w:type="gram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of</w:t>
            </w:r>
            <w:proofErr w:type="gram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 children achieving at greater depth in writing: </w:t>
            </w:r>
          </w:p>
          <w:p w:rsidR="00120D3D" w:rsidRPr="00CB32C8" w:rsidRDefault="00120D3D" w:rsidP="002E26B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Lantic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- 20% exceeding GLD</w:t>
            </w:r>
          </w:p>
          <w:p w:rsidR="00120D3D" w:rsidRPr="00CB32C8" w:rsidRDefault="00120D3D" w:rsidP="002E26B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Cannis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 xml:space="preserve">- 20% </w:t>
            </w:r>
          </w:p>
          <w:p w:rsidR="00120D3D" w:rsidRPr="00CB32C8" w:rsidRDefault="00120D3D" w:rsidP="002E26B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Gribben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- 17%</w:t>
            </w:r>
          </w:p>
          <w:p w:rsidR="00120D3D" w:rsidRPr="00CB32C8" w:rsidRDefault="00120D3D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Coombe</w:t>
            </w:r>
            <w:proofErr w:type="spellEnd"/>
            <w:proofErr w:type="gram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 20</w:t>
            </w:r>
            <w:proofErr w:type="gram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120D3D" w:rsidRPr="00CB32C8" w:rsidRDefault="00120D3D" w:rsidP="00CB32C8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Readymoney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- 25%</w:t>
            </w:r>
          </w:p>
          <w:p w:rsidR="00120D3D" w:rsidRPr="00CB32C8" w:rsidRDefault="00120D3D" w:rsidP="002E26B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proofErr w:type="spell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Polridmouth</w:t>
            </w:r>
            <w:proofErr w:type="spell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- 20%</w:t>
            </w:r>
          </w:p>
          <w:p w:rsidR="00120D3D" w:rsidRPr="00CB32C8" w:rsidRDefault="00120D3D" w:rsidP="002E26BF">
            <w:pPr>
              <w:contextualSpacing/>
              <w:rPr>
                <w:rFonts w:asciiTheme="majorHAnsi" w:hAnsiTheme="majorHAnsi"/>
                <w:iCs/>
                <w:sz w:val="18"/>
                <w:szCs w:val="18"/>
              </w:rPr>
            </w:pPr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Carne</w:t>
            </w:r>
            <w:proofErr w:type="gramStart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-  20</w:t>
            </w:r>
            <w:proofErr w:type="gramEnd"/>
            <w:r w:rsidRPr="00CB32C8">
              <w:rPr>
                <w:rFonts w:asciiTheme="majorHAnsi" w:hAnsiTheme="majorHAnsi"/>
                <w:iCs/>
                <w:sz w:val="18"/>
                <w:szCs w:val="18"/>
              </w:rPr>
              <w:t>%</w:t>
            </w:r>
          </w:p>
          <w:p w:rsidR="00120D3D" w:rsidRPr="002E17F3" w:rsidRDefault="00120D3D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  <w:r w:rsidRPr="00CB32C8">
              <w:rPr>
                <w:rFonts w:ascii="Calibri" w:hAnsi="Calibri"/>
                <w:b/>
                <w:iCs/>
                <w:sz w:val="18"/>
                <w:szCs w:val="28"/>
              </w:rPr>
              <w:t>Gov:</w:t>
            </w:r>
            <w:r>
              <w:rPr>
                <w:rFonts w:ascii="Calibri" w:hAnsi="Calibri"/>
                <w:iCs/>
                <w:sz w:val="18"/>
                <w:szCs w:val="28"/>
              </w:rPr>
              <w:t xml:space="preserve"> </w:t>
            </w:r>
            <w:r w:rsidRPr="00CE7CC0">
              <w:rPr>
                <w:rFonts w:ascii="Calibri" w:hAnsi="Calibri"/>
                <w:iCs/>
                <w:sz w:val="18"/>
                <w:szCs w:val="28"/>
              </w:rPr>
              <w:t xml:space="preserve">Kay </w:t>
            </w:r>
            <w:proofErr w:type="spellStart"/>
            <w:r w:rsidRPr="00CE7CC0">
              <w:rPr>
                <w:rFonts w:ascii="Calibri" w:hAnsi="Calibri"/>
                <w:iCs/>
                <w:sz w:val="18"/>
                <w:szCs w:val="28"/>
              </w:rPr>
              <w:t>Peacey</w:t>
            </w:r>
            <w:proofErr w:type="spellEnd"/>
            <w:r w:rsidRPr="00CE7CC0">
              <w:rPr>
                <w:rFonts w:ascii="Calibri" w:hAnsi="Calibri"/>
                <w:iCs/>
                <w:sz w:val="18"/>
                <w:szCs w:val="28"/>
              </w:rPr>
              <w:t xml:space="preserve"> (eng)</w:t>
            </w: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2. Writing to be included as a specific strand in pupil progress meetings. </w:t>
            </w:r>
          </w:p>
        </w:tc>
        <w:tc>
          <w:tcPr>
            <w:tcW w:w="141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Two</w:t>
            </w:r>
          </w:p>
        </w:tc>
        <w:tc>
          <w:tcPr>
            <w:tcW w:w="95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120D3D" w:rsidRPr="002E17F3" w:rsidRDefault="00120D3D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Review of writing curriculum in Autumn 2 and action points urgently reviewed. </w:t>
            </w:r>
          </w:p>
        </w:tc>
        <w:tc>
          <w:tcPr>
            <w:tcW w:w="141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Two</w:t>
            </w:r>
          </w:p>
        </w:tc>
        <w:tc>
          <w:tcPr>
            <w:tcW w:w="95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120D3D" w:rsidRPr="002E17F3" w:rsidRDefault="00120D3D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Writing CPD focus</w:t>
            </w:r>
          </w:p>
        </w:tc>
        <w:tc>
          <w:tcPr>
            <w:tcW w:w="1418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PT</w:t>
            </w:r>
          </w:p>
        </w:tc>
        <w:tc>
          <w:tcPr>
            <w:tcW w:w="1559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One</w:t>
            </w:r>
          </w:p>
        </w:tc>
        <w:tc>
          <w:tcPr>
            <w:tcW w:w="95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TBC</w:t>
            </w:r>
          </w:p>
        </w:tc>
        <w:tc>
          <w:tcPr>
            <w:tcW w:w="3578" w:type="dxa"/>
            <w:vMerge/>
          </w:tcPr>
          <w:p w:rsidR="00120D3D" w:rsidRPr="002E17F3" w:rsidRDefault="00120D3D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All teachers to receive a writing target as part of performance management. </w:t>
            </w:r>
          </w:p>
        </w:tc>
        <w:tc>
          <w:tcPr>
            <w:tcW w:w="141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</w:t>
            </w:r>
          </w:p>
        </w:tc>
        <w:tc>
          <w:tcPr>
            <w:tcW w:w="1559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One</w:t>
            </w:r>
          </w:p>
        </w:tc>
        <w:tc>
          <w:tcPr>
            <w:tcW w:w="95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18"/>
              </w:rPr>
              <w:t>none</w:t>
            </w:r>
            <w:proofErr w:type="gramEnd"/>
          </w:p>
        </w:tc>
        <w:tc>
          <w:tcPr>
            <w:tcW w:w="3578" w:type="dxa"/>
            <w:vMerge/>
          </w:tcPr>
          <w:p w:rsidR="00120D3D" w:rsidRPr="002E17F3" w:rsidRDefault="00120D3D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Introduce annual 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Cartonera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writing festival to increase sense of writing for a purpose. </w:t>
            </w:r>
          </w:p>
        </w:tc>
        <w:tc>
          <w:tcPr>
            <w:tcW w:w="1418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KS/PT</w:t>
            </w:r>
          </w:p>
        </w:tc>
        <w:tc>
          <w:tcPr>
            <w:tcW w:w="1559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Spring One</w:t>
            </w:r>
          </w:p>
        </w:tc>
        <w:tc>
          <w:tcPr>
            <w:tcW w:w="958" w:type="dxa"/>
          </w:tcPr>
          <w:p w:rsidR="00120D3D" w:rsidRPr="002E17F3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£150</w:t>
            </w:r>
          </w:p>
        </w:tc>
        <w:tc>
          <w:tcPr>
            <w:tcW w:w="3578" w:type="dxa"/>
            <w:vMerge/>
          </w:tcPr>
          <w:p w:rsidR="00120D3D" w:rsidRPr="002E17F3" w:rsidRDefault="00120D3D" w:rsidP="00E713FF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120D3D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Targeted ‘Inspirational Writing’ experiences and events for Pupil Premium children</w:t>
            </w:r>
          </w:p>
        </w:tc>
        <w:tc>
          <w:tcPr>
            <w:tcW w:w="1418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KS/PT</w:t>
            </w:r>
          </w:p>
        </w:tc>
        <w:tc>
          <w:tcPr>
            <w:tcW w:w="1559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Autumn Two </w:t>
            </w:r>
          </w:p>
        </w:tc>
        <w:tc>
          <w:tcPr>
            <w:tcW w:w="958" w:type="dxa"/>
          </w:tcPr>
          <w:p w:rsidR="00120D3D" w:rsidRDefault="00120D3D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£2000</w:t>
            </w:r>
          </w:p>
        </w:tc>
        <w:tc>
          <w:tcPr>
            <w:tcW w:w="3578" w:type="dxa"/>
          </w:tcPr>
          <w:p w:rsidR="00120D3D" w:rsidRPr="002E17F3" w:rsidRDefault="00120D3D" w:rsidP="00120D3D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The percentage of premium children working at expected or greater depth in writing will be at least in line with national standards (currently -0.3). </w:t>
            </w:r>
          </w:p>
        </w:tc>
        <w:tc>
          <w:tcPr>
            <w:tcW w:w="1417" w:type="dxa"/>
            <w:vMerge/>
          </w:tcPr>
          <w:p w:rsidR="00120D3D" w:rsidRPr="00B76E9C" w:rsidRDefault="00120D3D" w:rsidP="00E713FF">
            <w:pPr>
              <w:rPr>
                <w:rFonts w:ascii="Calibri" w:hAnsi="Calibri"/>
                <w:iCs/>
                <w:sz w:val="18"/>
                <w:szCs w:val="28"/>
              </w:rPr>
            </w:pPr>
          </w:p>
        </w:tc>
      </w:tr>
      <w:tr w:rsidR="00120D3D" w:rsidRPr="005153DD">
        <w:trPr>
          <w:trHeight w:val="74"/>
        </w:trPr>
        <w:tc>
          <w:tcPr>
            <w:tcW w:w="2019" w:type="dxa"/>
            <w:vMerge/>
          </w:tcPr>
          <w:p w:rsidR="00120D3D" w:rsidRDefault="00120D3D" w:rsidP="00E713FF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4502" w:type="dxa"/>
          </w:tcPr>
          <w:p w:rsidR="00120D3D" w:rsidRDefault="00CE7CC0" w:rsidP="002E26BF">
            <w:pPr>
              <w:contextualSpacing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Target</w:t>
            </w:r>
            <w:r w:rsidR="00120D3D">
              <w:rPr>
                <w:rFonts w:ascii="Calibri" w:hAnsi="Calibri"/>
                <w:sz w:val="18"/>
                <w:szCs w:val="18"/>
              </w:rPr>
              <w:t xml:space="preserve">ed assisted technology, IT (laptops and </w:t>
            </w:r>
            <w:proofErr w:type="spellStart"/>
            <w:r w:rsidR="00120D3D">
              <w:rPr>
                <w:rFonts w:ascii="Calibri" w:hAnsi="Calibri"/>
                <w:sz w:val="18"/>
                <w:szCs w:val="18"/>
              </w:rPr>
              <w:t>IPads</w:t>
            </w:r>
            <w:proofErr w:type="spellEnd"/>
            <w:r w:rsidR="00120D3D">
              <w:rPr>
                <w:rFonts w:ascii="Calibri" w:hAnsi="Calibri"/>
                <w:sz w:val="18"/>
                <w:szCs w:val="18"/>
              </w:rPr>
              <w:t xml:space="preserve">) for SEND children to assist writing. </w:t>
            </w:r>
          </w:p>
        </w:tc>
        <w:tc>
          <w:tcPr>
            <w:tcW w:w="1418" w:type="dxa"/>
          </w:tcPr>
          <w:p w:rsidR="00120D3D" w:rsidRDefault="00CE7CC0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MB</w:t>
            </w:r>
          </w:p>
        </w:tc>
        <w:tc>
          <w:tcPr>
            <w:tcW w:w="1559" w:type="dxa"/>
          </w:tcPr>
          <w:p w:rsidR="00120D3D" w:rsidRDefault="00CE7CC0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Autumn Two</w:t>
            </w:r>
          </w:p>
        </w:tc>
        <w:tc>
          <w:tcPr>
            <w:tcW w:w="958" w:type="dxa"/>
          </w:tcPr>
          <w:p w:rsidR="00120D3D" w:rsidRDefault="00CE7CC0" w:rsidP="00E713FF">
            <w:pPr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>£2000</w:t>
            </w:r>
          </w:p>
        </w:tc>
        <w:tc>
          <w:tcPr>
            <w:tcW w:w="3578" w:type="dxa"/>
          </w:tcPr>
          <w:p w:rsidR="00120D3D" w:rsidRDefault="00CE7CC0" w:rsidP="00120D3D">
            <w:pPr>
              <w:contextualSpacing/>
              <w:rPr>
                <w:rFonts w:ascii="Calibri" w:hAnsi="Calibri"/>
                <w:iCs/>
                <w:sz w:val="18"/>
                <w:szCs w:val="18"/>
              </w:rPr>
            </w:pPr>
            <w:r>
              <w:rPr>
                <w:rFonts w:ascii="Calibri" w:hAnsi="Calibri"/>
                <w:iCs/>
                <w:sz w:val="18"/>
                <w:szCs w:val="18"/>
              </w:rPr>
              <w:t xml:space="preserve">The gap in attainment of expected between SEND children and their peers will be narrowed (currently -7%) as children who find writing </w:t>
            </w:r>
            <w:r w:rsidR="00641A73">
              <w:rPr>
                <w:rFonts w:ascii="Calibri" w:hAnsi="Calibri"/>
                <w:iCs/>
                <w:sz w:val="18"/>
                <w:szCs w:val="18"/>
              </w:rPr>
              <w:t>mechanically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 difficult will be supported to record in alternative ways.  These children will report more positive experiences of </w:t>
            </w:r>
            <w:r w:rsidR="00641A73">
              <w:rPr>
                <w:rFonts w:ascii="Calibri" w:hAnsi="Calibri"/>
                <w:iCs/>
                <w:sz w:val="18"/>
                <w:szCs w:val="18"/>
              </w:rPr>
              <w:t>w</w:t>
            </w:r>
            <w:r>
              <w:rPr>
                <w:rFonts w:ascii="Calibri" w:hAnsi="Calibri"/>
                <w:iCs/>
                <w:sz w:val="18"/>
                <w:szCs w:val="18"/>
              </w:rPr>
              <w:t xml:space="preserve">riting. </w:t>
            </w:r>
          </w:p>
        </w:tc>
        <w:tc>
          <w:tcPr>
            <w:tcW w:w="1417" w:type="dxa"/>
          </w:tcPr>
          <w:p w:rsidR="00120D3D" w:rsidRPr="00B76E9C" w:rsidRDefault="00CE7CC0" w:rsidP="00E713FF">
            <w:pPr>
              <w:rPr>
                <w:rFonts w:ascii="Calibri" w:hAnsi="Calibri"/>
                <w:iCs/>
                <w:sz w:val="18"/>
                <w:szCs w:val="28"/>
              </w:rPr>
            </w:pPr>
            <w:r w:rsidRPr="00CE7CC0">
              <w:rPr>
                <w:rFonts w:ascii="Calibri" w:hAnsi="Calibri"/>
                <w:b/>
                <w:iCs/>
                <w:sz w:val="18"/>
                <w:szCs w:val="28"/>
              </w:rPr>
              <w:t>Gov:</w:t>
            </w:r>
            <w:r>
              <w:rPr>
                <w:rFonts w:ascii="Calibri" w:hAnsi="Calibri"/>
                <w:iCs/>
                <w:sz w:val="18"/>
                <w:szCs w:val="28"/>
              </w:rPr>
              <w:t xml:space="preserve"> Lucy Elliott </w:t>
            </w:r>
          </w:p>
        </w:tc>
      </w:tr>
    </w:tbl>
    <w:p w:rsidR="00E6329F" w:rsidRDefault="00E6329F" w:rsidP="00E6329F">
      <w:pPr>
        <w:rPr>
          <w:rFonts w:ascii="Calibri" w:hAnsi="Calibri"/>
          <w:sz w:val="20"/>
          <w:szCs w:val="72"/>
        </w:rPr>
      </w:pPr>
    </w:p>
    <w:p w:rsidR="00E6329F" w:rsidRDefault="00E6329F">
      <w:pPr>
        <w:rPr>
          <w:rFonts w:ascii="Calibri" w:hAnsi="Calibri"/>
          <w:sz w:val="20"/>
          <w:szCs w:val="72"/>
        </w:rPr>
      </w:pPr>
      <w:r>
        <w:rPr>
          <w:rFonts w:ascii="Calibri" w:hAnsi="Calibri"/>
          <w:sz w:val="20"/>
          <w:szCs w:val="72"/>
        </w:rPr>
        <w:br w:type="page"/>
      </w:r>
    </w:p>
    <w:tbl>
      <w:tblPr>
        <w:tblStyle w:val="TableGrid"/>
        <w:tblpPr w:leftFromText="180" w:rightFromText="180" w:vertAnchor="text" w:horzAnchor="page" w:tblpX="730" w:tblpY="-30"/>
        <w:tblW w:w="15629" w:type="dxa"/>
        <w:tblLook w:val="00BF"/>
      </w:tblPr>
      <w:tblGrid>
        <w:gridCol w:w="2093"/>
        <w:gridCol w:w="4536"/>
        <w:gridCol w:w="1417"/>
        <w:gridCol w:w="1560"/>
        <w:gridCol w:w="992"/>
        <w:gridCol w:w="3544"/>
        <w:gridCol w:w="1487"/>
      </w:tblGrid>
      <w:tr w:rsidR="002D4F52" w:rsidRPr="00421F3A">
        <w:tc>
          <w:tcPr>
            <w:tcW w:w="15629" w:type="dxa"/>
            <w:gridSpan w:val="7"/>
          </w:tcPr>
          <w:p w:rsidR="002D4F52" w:rsidRDefault="002D4F52" w:rsidP="002D4F52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</w:rPr>
              <w:t>EFFECTIVENESS OF EARLY YEARS PROVISION</w:t>
            </w:r>
          </w:p>
        </w:tc>
      </w:tr>
      <w:tr w:rsidR="00120D3D" w:rsidRPr="00421F3A">
        <w:trPr>
          <w:trHeight w:val="1109"/>
        </w:trPr>
        <w:tc>
          <w:tcPr>
            <w:tcW w:w="2093" w:type="dxa"/>
            <w:vMerge w:val="restart"/>
          </w:tcPr>
          <w:p w:rsidR="00120D3D" w:rsidRPr="00935BC6" w:rsidRDefault="00120D3D" w:rsidP="002D4F52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  <w:r>
              <w:rPr>
                <w:rFonts w:asciiTheme="majorHAnsi" w:hAnsiTheme="majorHAnsi"/>
                <w:sz w:val="18"/>
                <w:szCs w:val="28"/>
              </w:rPr>
              <w:t xml:space="preserve">Outcomes for Pupils: </w:t>
            </w:r>
          </w:p>
        </w:tc>
        <w:tc>
          <w:tcPr>
            <w:tcW w:w="4536" w:type="dxa"/>
          </w:tcPr>
          <w:p w:rsidR="00120D3D" w:rsidRPr="00935BC6" w:rsidRDefault="00120D3D" w:rsidP="00B218BA">
            <w:pPr>
              <w:pStyle w:val="ListParagraph"/>
              <w:ind w:left="0"/>
              <w:contextualSpacing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1. Improve and plan for outdoor area to be used daily, in all weathers, to ensure that all areas are provided in both out</w:t>
            </w:r>
            <w:r w:rsidR="00B218BA">
              <w:rPr>
                <w:rFonts w:ascii="Calibri" w:hAnsi="Calibri"/>
                <w:sz w:val="18"/>
                <w:szCs w:val="20"/>
              </w:rPr>
              <w:t>door and indoor environments. I</w:t>
            </w:r>
            <w:r>
              <w:rPr>
                <w:rFonts w:ascii="Calibri" w:hAnsi="Calibri"/>
                <w:sz w:val="18"/>
                <w:szCs w:val="20"/>
              </w:rPr>
              <w:t xml:space="preserve">mprove opportunities for physical development in the outdoor area. </w:t>
            </w:r>
          </w:p>
          <w:p w:rsidR="00120D3D" w:rsidRPr="000E1911" w:rsidRDefault="00120D3D" w:rsidP="00935BC6">
            <w:pPr>
              <w:pStyle w:val="ListParagraph"/>
              <w:tabs>
                <w:tab w:val="left" w:pos="1024"/>
              </w:tabs>
              <w:ind w:left="0"/>
              <w:contextualSpacing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JJ</w:t>
            </w:r>
          </w:p>
        </w:tc>
        <w:tc>
          <w:tcPr>
            <w:tcW w:w="1560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Autumn One</w:t>
            </w:r>
          </w:p>
        </w:tc>
        <w:tc>
          <w:tcPr>
            <w:tcW w:w="992" w:type="dxa"/>
          </w:tcPr>
          <w:p w:rsidR="00120D3D" w:rsidRPr="002E17F3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£2000</w:t>
            </w:r>
          </w:p>
        </w:tc>
        <w:tc>
          <w:tcPr>
            <w:tcW w:w="3544" w:type="dxa"/>
            <w:vMerge w:val="restart"/>
          </w:tcPr>
          <w:p w:rsidR="00B218BA" w:rsidRDefault="001834FD" w:rsidP="002D4F5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85% of children to achieve GLD, 20% at greater depth. </w:t>
            </w:r>
          </w:p>
          <w:p w:rsidR="001834FD" w:rsidRDefault="001834FD" w:rsidP="002D4F52">
            <w:pPr>
              <w:rPr>
                <w:rFonts w:ascii="Calibri" w:hAnsi="Calibri"/>
                <w:sz w:val="18"/>
                <w:szCs w:val="20"/>
              </w:rPr>
            </w:pPr>
          </w:p>
          <w:p w:rsidR="00B218BA" w:rsidRDefault="00B218BA" w:rsidP="002D4F5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Speaking- 90%</w:t>
            </w:r>
          </w:p>
          <w:p w:rsidR="00B218BA" w:rsidRDefault="00B218BA" w:rsidP="002D4F5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Managing Feelings and </w:t>
            </w:r>
            <w:proofErr w:type="spellStart"/>
            <w:r>
              <w:rPr>
                <w:rFonts w:ascii="Calibri" w:hAnsi="Calibri"/>
                <w:sz w:val="18"/>
                <w:szCs w:val="20"/>
              </w:rPr>
              <w:t>Behaviour</w:t>
            </w:r>
            <w:proofErr w:type="spellEnd"/>
            <w:r>
              <w:rPr>
                <w:rFonts w:ascii="Calibri" w:hAnsi="Calibri"/>
                <w:sz w:val="18"/>
                <w:szCs w:val="20"/>
              </w:rPr>
              <w:t>- 90%</w:t>
            </w:r>
          </w:p>
          <w:p w:rsidR="00B218BA" w:rsidRDefault="00B218BA" w:rsidP="002D4F5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Reading- 90%</w:t>
            </w:r>
          </w:p>
          <w:p w:rsidR="00B218BA" w:rsidRDefault="00B218BA" w:rsidP="002D4F5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Writing- 90%</w:t>
            </w:r>
          </w:p>
          <w:p w:rsidR="001834FD" w:rsidRDefault="001834FD" w:rsidP="002D4F52">
            <w:pPr>
              <w:rPr>
                <w:rFonts w:ascii="Calibri" w:hAnsi="Calibri"/>
                <w:sz w:val="18"/>
                <w:szCs w:val="20"/>
              </w:rPr>
            </w:pPr>
          </w:p>
          <w:p w:rsidR="001834FD" w:rsidRDefault="001834FD" w:rsidP="002D4F52">
            <w:pPr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There will be no significant gap between the attainment and progress of boys and girls. </w:t>
            </w:r>
          </w:p>
          <w:p w:rsidR="00120D3D" w:rsidRPr="002E17F3" w:rsidRDefault="001834FD" w:rsidP="002D4F52">
            <w:pPr>
              <w:rPr>
                <w:rFonts w:ascii="Calibri" w:hAnsi="Calibri"/>
                <w:sz w:val="18"/>
                <w:szCs w:val="20"/>
              </w:rPr>
            </w:pPr>
            <w:proofErr w:type="gramStart"/>
            <w:r>
              <w:rPr>
                <w:rFonts w:ascii="Calibri" w:hAnsi="Calibri"/>
                <w:sz w:val="18"/>
                <w:szCs w:val="20"/>
              </w:rPr>
              <w:t>!00</w:t>
            </w:r>
            <w:proofErr w:type="gramEnd"/>
            <w:r>
              <w:rPr>
                <w:rFonts w:ascii="Calibri" w:hAnsi="Calibri"/>
                <w:sz w:val="18"/>
                <w:szCs w:val="20"/>
              </w:rPr>
              <w:t xml:space="preserve">% of pupil premium children will achieve a good level of development. </w:t>
            </w:r>
          </w:p>
        </w:tc>
        <w:tc>
          <w:tcPr>
            <w:tcW w:w="1487" w:type="dxa"/>
            <w:vMerge w:val="restart"/>
          </w:tcPr>
          <w:p w:rsidR="00120D3D" w:rsidRPr="004A2A1D" w:rsidRDefault="00120D3D" w:rsidP="002D4F52">
            <w:pPr>
              <w:rPr>
                <w:rFonts w:ascii="Calibri" w:hAnsi="Calibri"/>
                <w:iCs/>
                <w:sz w:val="18"/>
                <w:szCs w:val="18"/>
              </w:rPr>
            </w:pPr>
            <w:r w:rsidRPr="004523AA">
              <w:rPr>
                <w:rFonts w:ascii="Calibri" w:hAnsi="Calibri"/>
                <w:b/>
                <w:iCs/>
                <w:sz w:val="18"/>
                <w:szCs w:val="18"/>
              </w:rPr>
              <w:t xml:space="preserve">Gov: </w:t>
            </w:r>
            <w:r w:rsidRPr="002D4F52">
              <w:rPr>
                <w:rFonts w:ascii="Calibri" w:hAnsi="Calibri"/>
                <w:iCs/>
                <w:sz w:val="18"/>
                <w:szCs w:val="18"/>
              </w:rPr>
              <w:t>Sinead Hanks</w:t>
            </w:r>
          </w:p>
        </w:tc>
      </w:tr>
      <w:tr w:rsidR="00120D3D" w:rsidRPr="00421F3A">
        <w:tc>
          <w:tcPr>
            <w:tcW w:w="2093" w:type="dxa"/>
            <w:vMerge/>
          </w:tcPr>
          <w:p w:rsidR="00120D3D" w:rsidRDefault="00120D3D" w:rsidP="002D4F52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120D3D" w:rsidRDefault="00120D3D" w:rsidP="00935BC6">
            <w:pPr>
              <w:contextualSpacing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2. Ensure that </w:t>
            </w:r>
            <w:r w:rsidR="00B218BA">
              <w:rPr>
                <w:rFonts w:ascii="Calibri" w:hAnsi="Calibri"/>
                <w:sz w:val="18"/>
                <w:szCs w:val="20"/>
              </w:rPr>
              <w:t xml:space="preserve">writing opportunities are always provided and planned for both inside and outside. </w:t>
            </w:r>
            <w:r>
              <w:rPr>
                <w:rFonts w:ascii="Calibri" w:hAnsi="Calibri"/>
                <w:sz w:val="18"/>
                <w:szCs w:val="20"/>
              </w:rPr>
              <w:t xml:space="preserve"> </w:t>
            </w:r>
          </w:p>
          <w:p w:rsidR="00120D3D" w:rsidRDefault="00120D3D" w:rsidP="002D4F52">
            <w:pPr>
              <w:pStyle w:val="ListParagraph"/>
              <w:ind w:left="0"/>
              <w:contextualSpacing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JJ</w:t>
            </w:r>
          </w:p>
        </w:tc>
        <w:tc>
          <w:tcPr>
            <w:tcW w:w="1560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Autumn Two</w:t>
            </w:r>
          </w:p>
        </w:tc>
        <w:tc>
          <w:tcPr>
            <w:tcW w:w="992" w:type="dxa"/>
          </w:tcPr>
          <w:p w:rsidR="00120D3D" w:rsidRPr="002E17F3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£500</w:t>
            </w:r>
          </w:p>
        </w:tc>
        <w:tc>
          <w:tcPr>
            <w:tcW w:w="3544" w:type="dxa"/>
            <w:vMerge/>
          </w:tcPr>
          <w:p w:rsidR="00120D3D" w:rsidRPr="002E17F3" w:rsidRDefault="00120D3D" w:rsidP="002D4F5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120D3D" w:rsidRPr="004523AA" w:rsidRDefault="00120D3D" w:rsidP="002D4F52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120D3D" w:rsidRPr="00421F3A">
        <w:tc>
          <w:tcPr>
            <w:tcW w:w="2093" w:type="dxa"/>
            <w:vMerge/>
          </w:tcPr>
          <w:p w:rsidR="00120D3D" w:rsidRDefault="00120D3D" w:rsidP="002D4F52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120D3D" w:rsidRDefault="00120D3D" w:rsidP="00935BC6">
            <w:pPr>
              <w:contextualSpacing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 xml:space="preserve">3. Introduce loose parts play to provide increased challenge to play. </w:t>
            </w:r>
          </w:p>
          <w:p w:rsidR="00120D3D" w:rsidRDefault="00120D3D" w:rsidP="002D4F52">
            <w:pPr>
              <w:pStyle w:val="ListParagraph"/>
              <w:ind w:left="0"/>
              <w:contextualSpacing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JJ/KS</w:t>
            </w:r>
          </w:p>
        </w:tc>
        <w:tc>
          <w:tcPr>
            <w:tcW w:w="1560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Spring One</w:t>
            </w:r>
          </w:p>
        </w:tc>
        <w:tc>
          <w:tcPr>
            <w:tcW w:w="992" w:type="dxa"/>
          </w:tcPr>
          <w:p w:rsidR="00120D3D" w:rsidRPr="002E17F3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£500</w:t>
            </w:r>
          </w:p>
        </w:tc>
        <w:tc>
          <w:tcPr>
            <w:tcW w:w="3544" w:type="dxa"/>
            <w:vMerge/>
          </w:tcPr>
          <w:p w:rsidR="00120D3D" w:rsidRPr="002E17F3" w:rsidRDefault="00120D3D" w:rsidP="002D4F5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120D3D" w:rsidRPr="004523AA" w:rsidRDefault="00120D3D" w:rsidP="002D4F52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120D3D" w:rsidRPr="00421F3A">
        <w:tc>
          <w:tcPr>
            <w:tcW w:w="2093" w:type="dxa"/>
            <w:vMerge/>
          </w:tcPr>
          <w:p w:rsidR="00120D3D" w:rsidRDefault="00120D3D" w:rsidP="002D4F52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120D3D" w:rsidRDefault="00120D3D" w:rsidP="002D4F52">
            <w:pPr>
              <w:pStyle w:val="ListParagraph"/>
              <w:ind w:left="0"/>
              <w:contextualSpacing/>
              <w:rPr>
                <w:rFonts w:ascii="Calibri" w:hAnsi="Calibri"/>
                <w:sz w:val="18"/>
                <w:szCs w:val="20"/>
              </w:rPr>
            </w:pPr>
            <w:r>
              <w:rPr>
                <w:rFonts w:asciiTheme="majorHAnsi" w:hAnsiTheme="majorHAnsi"/>
                <w:sz w:val="18"/>
                <w:szCs w:val="28"/>
              </w:rPr>
              <w:t>4. Increase opportunities for child initiated learning, using in the moment planning</w:t>
            </w:r>
          </w:p>
        </w:tc>
        <w:tc>
          <w:tcPr>
            <w:tcW w:w="1417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JJ</w:t>
            </w:r>
          </w:p>
        </w:tc>
        <w:tc>
          <w:tcPr>
            <w:tcW w:w="1560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Autumn Two</w:t>
            </w:r>
          </w:p>
        </w:tc>
        <w:tc>
          <w:tcPr>
            <w:tcW w:w="992" w:type="dxa"/>
          </w:tcPr>
          <w:p w:rsidR="00120D3D" w:rsidRPr="002E17F3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none</w:t>
            </w:r>
            <w:proofErr w:type="gramEnd"/>
          </w:p>
        </w:tc>
        <w:tc>
          <w:tcPr>
            <w:tcW w:w="3544" w:type="dxa"/>
            <w:vMerge/>
          </w:tcPr>
          <w:p w:rsidR="00120D3D" w:rsidRPr="002E17F3" w:rsidRDefault="00120D3D" w:rsidP="002D4F5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120D3D" w:rsidRPr="004523AA" w:rsidRDefault="00120D3D" w:rsidP="002D4F52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120D3D" w:rsidRPr="00421F3A">
        <w:tc>
          <w:tcPr>
            <w:tcW w:w="2093" w:type="dxa"/>
            <w:vMerge/>
          </w:tcPr>
          <w:p w:rsidR="00120D3D" w:rsidRDefault="00120D3D" w:rsidP="002D4F52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120D3D" w:rsidRDefault="00120D3D" w:rsidP="00935BC6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  <w:r>
              <w:rPr>
                <w:rFonts w:asciiTheme="majorHAnsi" w:hAnsiTheme="majorHAnsi"/>
                <w:sz w:val="18"/>
                <w:szCs w:val="28"/>
              </w:rPr>
              <w:t xml:space="preserve">5. Ensure effective and accurate assessment of children based on high quality observations from all involved in children’s development, including parents and support staff.  </w:t>
            </w:r>
          </w:p>
          <w:p w:rsidR="00120D3D" w:rsidRDefault="00120D3D" w:rsidP="002D4F52">
            <w:pPr>
              <w:pStyle w:val="ListParagraph"/>
              <w:ind w:left="0"/>
              <w:contextualSpacing/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JJ</w:t>
            </w:r>
          </w:p>
        </w:tc>
        <w:tc>
          <w:tcPr>
            <w:tcW w:w="1560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Autumn Two</w:t>
            </w:r>
          </w:p>
        </w:tc>
        <w:tc>
          <w:tcPr>
            <w:tcW w:w="992" w:type="dxa"/>
          </w:tcPr>
          <w:p w:rsidR="00120D3D" w:rsidRPr="002E17F3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£120 TA training course</w:t>
            </w:r>
          </w:p>
        </w:tc>
        <w:tc>
          <w:tcPr>
            <w:tcW w:w="3544" w:type="dxa"/>
            <w:vMerge/>
          </w:tcPr>
          <w:p w:rsidR="00120D3D" w:rsidRPr="002E17F3" w:rsidRDefault="00120D3D" w:rsidP="002D4F5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120D3D" w:rsidRPr="004523AA" w:rsidRDefault="00120D3D" w:rsidP="002D4F52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  <w:tr w:rsidR="00120D3D" w:rsidRPr="00421F3A">
        <w:tc>
          <w:tcPr>
            <w:tcW w:w="2093" w:type="dxa"/>
            <w:vMerge/>
          </w:tcPr>
          <w:p w:rsidR="00120D3D" w:rsidRDefault="00120D3D" w:rsidP="002D4F52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</w:p>
        </w:tc>
        <w:tc>
          <w:tcPr>
            <w:tcW w:w="4536" w:type="dxa"/>
          </w:tcPr>
          <w:p w:rsidR="00120D3D" w:rsidRDefault="00B218BA" w:rsidP="00935BC6">
            <w:pPr>
              <w:contextualSpacing/>
              <w:rPr>
                <w:rFonts w:asciiTheme="majorHAnsi" w:hAnsiTheme="majorHAnsi"/>
                <w:sz w:val="18"/>
                <w:szCs w:val="28"/>
              </w:rPr>
            </w:pPr>
            <w:r>
              <w:rPr>
                <w:rFonts w:asciiTheme="majorHAnsi" w:hAnsiTheme="majorHAnsi"/>
                <w:sz w:val="18"/>
                <w:szCs w:val="28"/>
              </w:rPr>
              <w:t>6</w:t>
            </w:r>
            <w:r w:rsidR="00120D3D">
              <w:rPr>
                <w:rFonts w:asciiTheme="majorHAnsi" w:hAnsiTheme="majorHAnsi"/>
                <w:sz w:val="18"/>
                <w:szCs w:val="28"/>
              </w:rPr>
              <w:t>. Ensure that 100% of pupil premium children achieve a good level of development</w:t>
            </w:r>
          </w:p>
        </w:tc>
        <w:tc>
          <w:tcPr>
            <w:tcW w:w="1417" w:type="dxa"/>
          </w:tcPr>
          <w:p w:rsidR="00120D3D" w:rsidRDefault="00120D3D" w:rsidP="002D4F52">
            <w:pPr>
              <w:rPr>
                <w:rFonts w:ascii="Calibri" w:hAnsi="Calibri"/>
                <w:iCs/>
                <w:sz w:val="18"/>
                <w:szCs w:val="20"/>
              </w:rPr>
            </w:pPr>
            <w:r>
              <w:rPr>
                <w:rFonts w:ascii="Calibri" w:hAnsi="Calibri"/>
                <w:iCs/>
                <w:sz w:val="18"/>
                <w:szCs w:val="20"/>
              </w:rPr>
              <w:t>JJ</w:t>
            </w:r>
          </w:p>
        </w:tc>
        <w:tc>
          <w:tcPr>
            <w:tcW w:w="1560" w:type="dxa"/>
          </w:tcPr>
          <w:p w:rsidR="00120D3D" w:rsidRPr="004F4030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proofErr w:type="gramStart"/>
            <w:r>
              <w:rPr>
                <w:rFonts w:ascii="Calibri" w:hAnsi="Calibri"/>
                <w:iCs/>
                <w:sz w:val="18"/>
                <w:szCs w:val="28"/>
              </w:rPr>
              <w:t>by</w:t>
            </w:r>
            <w:proofErr w:type="gramEnd"/>
            <w:r>
              <w:rPr>
                <w:rFonts w:ascii="Calibri" w:hAnsi="Calibri"/>
                <w:iCs/>
                <w:sz w:val="18"/>
                <w:szCs w:val="28"/>
              </w:rPr>
              <w:t xml:space="preserve"> Summer Two</w:t>
            </w:r>
          </w:p>
        </w:tc>
        <w:tc>
          <w:tcPr>
            <w:tcW w:w="992" w:type="dxa"/>
          </w:tcPr>
          <w:p w:rsidR="00120D3D" w:rsidRPr="002E17F3" w:rsidRDefault="00120D3D" w:rsidP="002D4F52">
            <w:pPr>
              <w:rPr>
                <w:rFonts w:ascii="Calibri" w:hAnsi="Calibri"/>
                <w:iCs/>
                <w:sz w:val="18"/>
                <w:szCs w:val="28"/>
              </w:rPr>
            </w:pPr>
            <w:r>
              <w:rPr>
                <w:rFonts w:ascii="Calibri" w:hAnsi="Calibri"/>
                <w:iCs/>
                <w:sz w:val="18"/>
                <w:szCs w:val="28"/>
              </w:rPr>
              <w:t>Pupil Premium Funding- targeted as needed</w:t>
            </w:r>
          </w:p>
        </w:tc>
        <w:tc>
          <w:tcPr>
            <w:tcW w:w="3544" w:type="dxa"/>
            <w:vMerge/>
          </w:tcPr>
          <w:p w:rsidR="00120D3D" w:rsidRPr="002E17F3" w:rsidRDefault="00120D3D" w:rsidP="002D4F52">
            <w:pPr>
              <w:rPr>
                <w:rFonts w:ascii="Calibri" w:hAnsi="Calibri"/>
                <w:sz w:val="18"/>
                <w:szCs w:val="20"/>
              </w:rPr>
            </w:pPr>
          </w:p>
        </w:tc>
        <w:tc>
          <w:tcPr>
            <w:tcW w:w="1487" w:type="dxa"/>
            <w:vMerge/>
          </w:tcPr>
          <w:p w:rsidR="00120D3D" w:rsidRPr="004523AA" w:rsidRDefault="00120D3D" w:rsidP="002D4F52">
            <w:pPr>
              <w:rPr>
                <w:rFonts w:ascii="Calibri" w:hAnsi="Calibri"/>
                <w:b/>
                <w:iCs/>
                <w:sz w:val="18"/>
                <w:szCs w:val="18"/>
              </w:rPr>
            </w:pPr>
          </w:p>
        </w:tc>
      </w:tr>
    </w:tbl>
    <w:p w:rsidR="00350A76" w:rsidRDefault="00350A76" w:rsidP="00E6329F">
      <w:pPr>
        <w:rPr>
          <w:rFonts w:ascii="Calibri" w:hAnsi="Calibri"/>
          <w:sz w:val="20"/>
          <w:szCs w:val="72"/>
        </w:rPr>
      </w:pPr>
    </w:p>
    <w:p w:rsidR="00536656" w:rsidRPr="00295946" w:rsidRDefault="00536656" w:rsidP="00D6161A">
      <w:pPr>
        <w:rPr>
          <w:rFonts w:asciiTheme="majorHAnsi" w:hAnsiTheme="majorHAnsi"/>
        </w:rPr>
      </w:pPr>
    </w:p>
    <w:sectPr w:rsidR="00536656" w:rsidRPr="00295946" w:rsidSect="00536656">
      <w:pgSz w:w="16840" w:h="11899" w:orient="landscape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E05F5"/>
    <w:multiLevelType w:val="hybridMultilevel"/>
    <w:tmpl w:val="5192D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6687A"/>
    <w:multiLevelType w:val="hybridMultilevel"/>
    <w:tmpl w:val="95F0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8703F"/>
    <w:multiLevelType w:val="hybridMultilevel"/>
    <w:tmpl w:val="04CED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E5E9E"/>
    <w:multiLevelType w:val="hybridMultilevel"/>
    <w:tmpl w:val="77522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76529"/>
    <w:multiLevelType w:val="hybridMultilevel"/>
    <w:tmpl w:val="571681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D023CF"/>
    <w:multiLevelType w:val="hybridMultilevel"/>
    <w:tmpl w:val="76E6E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67020B9"/>
    <w:multiLevelType w:val="hybridMultilevel"/>
    <w:tmpl w:val="AFE45574"/>
    <w:lvl w:ilvl="0" w:tplc="08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F7C73"/>
    <w:multiLevelType w:val="hybridMultilevel"/>
    <w:tmpl w:val="F7A2B5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7E2774"/>
    <w:multiLevelType w:val="hybridMultilevel"/>
    <w:tmpl w:val="6B9E2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E45D2"/>
    <w:multiLevelType w:val="hybridMultilevel"/>
    <w:tmpl w:val="3F8A122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536656"/>
    <w:rsid w:val="0001672B"/>
    <w:rsid w:val="00025CFD"/>
    <w:rsid w:val="000377CE"/>
    <w:rsid w:val="00040ECE"/>
    <w:rsid w:val="000626C7"/>
    <w:rsid w:val="000702B9"/>
    <w:rsid w:val="000779D8"/>
    <w:rsid w:val="00082643"/>
    <w:rsid w:val="00086522"/>
    <w:rsid w:val="00090279"/>
    <w:rsid w:val="000A0592"/>
    <w:rsid w:val="000B6384"/>
    <w:rsid w:val="000B76D3"/>
    <w:rsid w:val="000C4AEE"/>
    <w:rsid w:val="000C53EC"/>
    <w:rsid w:val="000C7CB1"/>
    <w:rsid w:val="000E3DF3"/>
    <w:rsid w:val="000F79C0"/>
    <w:rsid w:val="00120D3D"/>
    <w:rsid w:val="00136282"/>
    <w:rsid w:val="001652D6"/>
    <w:rsid w:val="001834FD"/>
    <w:rsid w:val="00187A25"/>
    <w:rsid w:val="001B6134"/>
    <w:rsid w:val="001B6282"/>
    <w:rsid w:val="00217640"/>
    <w:rsid w:val="002263F7"/>
    <w:rsid w:val="00257DE3"/>
    <w:rsid w:val="0026214A"/>
    <w:rsid w:val="00271F20"/>
    <w:rsid w:val="00283F12"/>
    <w:rsid w:val="00295946"/>
    <w:rsid w:val="002B0ECD"/>
    <w:rsid w:val="002B32CD"/>
    <w:rsid w:val="002D09B0"/>
    <w:rsid w:val="002D4F52"/>
    <w:rsid w:val="002D548D"/>
    <w:rsid w:val="002E094B"/>
    <w:rsid w:val="002E17F3"/>
    <w:rsid w:val="002E26BF"/>
    <w:rsid w:val="002F4C4C"/>
    <w:rsid w:val="00315198"/>
    <w:rsid w:val="0032280E"/>
    <w:rsid w:val="00350A76"/>
    <w:rsid w:val="00353108"/>
    <w:rsid w:val="003B08F0"/>
    <w:rsid w:val="003E1886"/>
    <w:rsid w:val="00400302"/>
    <w:rsid w:val="00411058"/>
    <w:rsid w:val="00424635"/>
    <w:rsid w:val="00447712"/>
    <w:rsid w:val="004523AA"/>
    <w:rsid w:val="00471793"/>
    <w:rsid w:val="00475F59"/>
    <w:rsid w:val="004A2A1D"/>
    <w:rsid w:val="004E1ADC"/>
    <w:rsid w:val="004E4D70"/>
    <w:rsid w:val="004F3B24"/>
    <w:rsid w:val="004F4030"/>
    <w:rsid w:val="005077C4"/>
    <w:rsid w:val="00536656"/>
    <w:rsid w:val="00536CD9"/>
    <w:rsid w:val="00541C75"/>
    <w:rsid w:val="00591A28"/>
    <w:rsid w:val="00615D05"/>
    <w:rsid w:val="00616709"/>
    <w:rsid w:val="0062681A"/>
    <w:rsid w:val="00640F7E"/>
    <w:rsid w:val="00641A73"/>
    <w:rsid w:val="006715F4"/>
    <w:rsid w:val="006A1947"/>
    <w:rsid w:val="006A1A85"/>
    <w:rsid w:val="006A7A4A"/>
    <w:rsid w:val="006C2BC8"/>
    <w:rsid w:val="006C7427"/>
    <w:rsid w:val="006E6C04"/>
    <w:rsid w:val="006E6E8E"/>
    <w:rsid w:val="00736D2D"/>
    <w:rsid w:val="00777BD7"/>
    <w:rsid w:val="00794DD1"/>
    <w:rsid w:val="007A0770"/>
    <w:rsid w:val="007F312B"/>
    <w:rsid w:val="00813E28"/>
    <w:rsid w:val="0083087B"/>
    <w:rsid w:val="008567AC"/>
    <w:rsid w:val="00886522"/>
    <w:rsid w:val="008936CF"/>
    <w:rsid w:val="008A70ED"/>
    <w:rsid w:val="008D0BBB"/>
    <w:rsid w:val="008E5D54"/>
    <w:rsid w:val="00906C0E"/>
    <w:rsid w:val="0091492D"/>
    <w:rsid w:val="0091611C"/>
    <w:rsid w:val="00920D6F"/>
    <w:rsid w:val="00935BC6"/>
    <w:rsid w:val="0096354A"/>
    <w:rsid w:val="009638BD"/>
    <w:rsid w:val="00972873"/>
    <w:rsid w:val="0097407E"/>
    <w:rsid w:val="00996077"/>
    <w:rsid w:val="009A13B3"/>
    <w:rsid w:val="009B2D2F"/>
    <w:rsid w:val="009B7C73"/>
    <w:rsid w:val="00A43DA3"/>
    <w:rsid w:val="00A65C69"/>
    <w:rsid w:val="00AB5D35"/>
    <w:rsid w:val="00AF5837"/>
    <w:rsid w:val="00B10BEE"/>
    <w:rsid w:val="00B12C2E"/>
    <w:rsid w:val="00B218BA"/>
    <w:rsid w:val="00B526AD"/>
    <w:rsid w:val="00B76E9C"/>
    <w:rsid w:val="00B94D96"/>
    <w:rsid w:val="00C00782"/>
    <w:rsid w:val="00C3114F"/>
    <w:rsid w:val="00C3275A"/>
    <w:rsid w:val="00C409E9"/>
    <w:rsid w:val="00C53C75"/>
    <w:rsid w:val="00CA2F47"/>
    <w:rsid w:val="00CB32C8"/>
    <w:rsid w:val="00CD7B83"/>
    <w:rsid w:val="00CE7CC0"/>
    <w:rsid w:val="00CF1B34"/>
    <w:rsid w:val="00D0657C"/>
    <w:rsid w:val="00D13CF1"/>
    <w:rsid w:val="00D36553"/>
    <w:rsid w:val="00D43229"/>
    <w:rsid w:val="00D6161A"/>
    <w:rsid w:val="00DA3DC7"/>
    <w:rsid w:val="00DA57CE"/>
    <w:rsid w:val="00DC479D"/>
    <w:rsid w:val="00E14A40"/>
    <w:rsid w:val="00E3023C"/>
    <w:rsid w:val="00E34FD5"/>
    <w:rsid w:val="00E57148"/>
    <w:rsid w:val="00E6329F"/>
    <w:rsid w:val="00E64230"/>
    <w:rsid w:val="00E713FF"/>
    <w:rsid w:val="00E909B2"/>
    <w:rsid w:val="00EB7731"/>
    <w:rsid w:val="00EC1674"/>
    <w:rsid w:val="00EE52CB"/>
    <w:rsid w:val="00F11DBF"/>
    <w:rsid w:val="00F22794"/>
    <w:rsid w:val="00F238CA"/>
    <w:rsid w:val="00F4608D"/>
    <w:rsid w:val="00F8252D"/>
    <w:rsid w:val="00FD52C2"/>
    <w:rsid w:val="00FE2285"/>
    <w:rsid w:val="00FF1458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86522"/>
    <w:rPr>
      <w:rFonts w:ascii="Cambria" w:eastAsia="Cambria" w:hAnsi="Cambria" w:cs="Cambr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08652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4D70"/>
    <w:pPr>
      <w:ind w:left="720"/>
    </w:pPr>
  </w:style>
  <w:style w:type="paragraph" w:customStyle="1" w:styleId="Sub-heading">
    <w:name w:val="Sub-heading"/>
    <w:basedOn w:val="Normal"/>
    <w:rsid w:val="004E4D70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iCs/>
      <w:color w:val="993366"/>
      <w:lang w:val="en-GB" w:eastAsia="en-GB"/>
    </w:rPr>
  </w:style>
  <w:style w:type="paragraph" w:styleId="Footer">
    <w:name w:val="footer"/>
    <w:basedOn w:val="Normal"/>
    <w:link w:val="FooterChar"/>
    <w:rsid w:val="00777BD7"/>
    <w:pPr>
      <w:tabs>
        <w:tab w:val="center" w:pos="4153"/>
        <w:tab w:val="right" w:pos="8306"/>
      </w:tabs>
      <w:spacing w:after="0"/>
    </w:pPr>
    <w:rPr>
      <w:rFonts w:ascii="Arial" w:eastAsia="Times New Roman" w:hAnsi="Arial" w:cs="Times New Roman"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777BD7"/>
    <w:rPr>
      <w:rFonts w:ascii="Arial" w:eastAsia="Times New Roman" w:hAnsi="Arial" w:cs="Times New Roman"/>
      <w:sz w:val="22"/>
      <w:szCs w:val="22"/>
      <w:lang w:val="en-GB" w:eastAsia="en-GB"/>
    </w:rPr>
  </w:style>
  <w:style w:type="character" w:styleId="Hyperlink">
    <w:name w:val="Hyperlink"/>
    <w:rsid w:val="00777BD7"/>
    <w:rPr>
      <w:color w:val="0000FF"/>
      <w:u w:val="single"/>
    </w:rPr>
  </w:style>
  <w:style w:type="character" w:styleId="FollowedHyperlink">
    <w:name w:val="FollowedHyperlink"/>
    <w:basedOn w:val="DefaultParagraphFont"/>
    <w:rsid w:val="00777B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086522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522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E4D70"/>
    <w:pPr>
      <w:ind w:left="720"/>
    </w:pPr>
  </w:style>
  <w:style w:type="paragraph" w:customStyle="1" w:styleId="Sub-heading">
    <w:name w:val="Sub-heading"/>
    <w:basedOn w:val="Normal"/>
    <w:rsid w:val="004E4D70"/>
    <w:pPr>
      <w:autoSpaceDE w:val="0"/>
      <w:autoSpaceDN w:val="0"/>
      <w:adjustRightInd w:val="0"/>
      <w:spacing w:after="0"/>
    </w:pPr>
    <w:rPr>
      <w:rFonts w:ascii="Verdana" w:eastAsia="Times New Roman" w:hAnsi="Verdana" w:cs="Arial"/>
      <w:b/>
      <w:bCs/>
      <w:iCs/>
      <w:color w:val="99336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B89E4-7336-F843-9A7E-CB4940B2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7</Pages>
  <Words>1935</Words>
  <Characters>11031</Characters>
  <Application>Microsoft Macintosh Word</Application>
  <DocSecurity>0</DocSecurity>
  <Lines>91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fowey primary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Wathern</dc:creator>
  <cp:lastModifiedBy>Chris Wathern</cp:lastModifiedBy>
  <cp:revision>14</cp:revision>
  <cp:lastPrinted>2016-10-05T10:49:00Z</cp:lastPrinted>
  <dcterms:created xsi:type="dcterms:W3CDTF">2017-09-10T12:17:00Z</dcterms:created>
  <dcterms:modified xsi:type="dcterms:W3CDTF">2017-09-27T18:10:00Z</dcterms:modified>
</cp:coreProperties>
</file>